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56CEE" w14:textId="77777777" w:rsidR="00E07F9F" w:rsidRDefault="00E07F9F">
      <w:pPr>
        <w:pStyle w:val="AttorneyName"/>
        <w:rPr>
          <w:rFonts w:ascii="Century" w:hAnsi="Century"/>
          <w:sz w:val="28"/>
          <w:szCs w:val="28"/>
        </w:rPr>
      </w:pPr>
      <w:r w:rsidRPr="005C1000">
        <w:rPr>
          <w:rFonts w:ascii="Century" w:hAnsi="Century"/>
          <w:sz w:val="28"/>
          <w:szCs w:val="28"/>
        </w:rPr>
        <w:t xml:space="preserve"> </w:t>
      </w:r>
    </w:p>
    <w:p w14:paraId="24A0B729" w14:textId="77777777" w:rsidR="00310469" w:rsidRPr="005C1000" w:rsidRDefault="00310469">
      <w:pPr>
        <w:pStyle w:val="AttorneyName"/>
        <w:rPr>
          <w:rFonts w:ascii="Century" w:hAnsi="Century"/>
          <w:sz w:val="28"/>
          <w:szCs w:val="28"/>
        </w:rPr>
      </w:pPr>
    </w:p>
    <w:p w14:paraId="449F6B6C" w14:textId="77777777" w:rsidR="00E07F9F" w:rsidRPr="005C1000" w:rsidRDefault="00E07F9F">
      <w:pPr>
        <w:pStyle w:val="AttorneyName"/>
        <w:rPr>
          <w:rFonts w:ascii="Century" w:hAnsi="Century"/>
          <w:sz w:val="28"/>
          <w:szCs w:val="28"/>
        </w:rPr>
      </w:pPr>
    </w:p>
    <w:p w14:paraId="32E8EBAC" w14:textId="77777777" w:rsidR="00E07F9F" w:rsidRPr="005C1000" w:rsidRDefault="00E07F9F">
      <w:pPr>
        <w:pStyle w:val="Heading1"/>
        <w:rPr>
          <w:rFonts w:ascii="Century" w:hAnsi="Century"/>
          <w:b/>
          <w:szCs w:val="28"/>
        </w:rPr>
      </w:pPr>
    </w:p>
    <w:p w14:paraId="2CA5EC5E" w14:textId="77777777" w:rsidR="00D10740" w:rsidRPr="008117E6" w:rsidRDefault="001F6F5E" w:rsidP="00D10740">
      <w:pPr>
        <w:pStyle w:val="Heading1"/>
        <w:rPr>
          <w:rFonts w:ascii="Century" w:hAnsi="Century"/>
          <w:bCs/>
          <w:smallCaps/>
          <w:szCs w:val="28"/>
        </w:rPr>
      </w:pPr>
      <w:r w:rsidRPr="008117E6">
        <w:rPr>
          <w:rFonts w:ascii="Century" w:hAnsi="Century"/>
          <w:bCs/>
          <w:smallCaps/>
          <w:szCs w:val="28"/>
        </w:rPr>
        <w:t>United States District Court</w:t>
      </w:r>
    </w:p>
    <w:p w14:paraId="7469A58A" w14:textId="77777777" w:rsidR="00D10740" w:rsidRPr="008117E6" w:rsidRDefault="001F6F5E" w:rsidP="00D10740">
      <w:pPr>
        <w:pStyle w:val="Heading1"/>
        <w:rPr>
          <w:rFonts w:ascii="Century" w:hAnsi="Century"/>
          <w:bCs/>
          <w:smallCaps/>
          <w:szCs w:val="28"/>
        </w:rPr>
      </w:pPr>
      <w:r w:rsidRPr="008117E6">
        <w:rPr>
          <w:rFonts w:ascii="Century" w:hAnsi="Century"/>
          <w:bCs/>
          <w:smallCaps/>
          <w:szCs w:val="28"/>
        </w:rPr>
        <w:t>Western District Of Louisiana</w:t>
      </w:r>
    </w:p>
    <w:p w14:paraId="1400A5B5" w14:textId="764914C1" w:rsidR="00E07F9F" w:rsidRPr="008117E6" w:rsidRDefault="00F503F7" w:rsidP="00D10740">
      <w:pPr>
        <w:pStyle w:val="Heading1"/>
        <w:rPr>
          <w:rFonts w:ascii="Century" w:hAnsi="Century"/>
          <w:bCs/>
          <w:smallCaps/>
          <w:szCs w:val="28"/>
        </w:rPr>
      </w:pPr>
      <w:r>
        <w:rPr>
          <w:rFonts w:ascii="Century" w:hAnsi="Century"/>
          <w:bCs/>
          <w:smallCaps/>
          <w:szCs w:val="28"/>
        </w:rPr>
        <w:t>Alexandria</w:t>
      </w:r>
      <w:r w:rsidR="001F6F5E" w:rsidRPr="008117E6">
        <w:rPr>
          <w:rFonts w:ascii="Century" w:hAnsi="Century"/>
          <w:bCs/>
          <w:smallCaps/>
          <w:szCs w:val="28"/>
        </w:rPr>
        <w:t xml:space="preserve"> Division</w:t>
      </w:r>
    </w:p>
    <w:p w14:paraId="77E1CCEB" w14:textId="77777777" w:rsidR="00E07F9F" w:rsidRDefault="00E07F9F">
      <w:pPr>
        <w:jc w:val="center"/>
        <w:rPr>
          <w:rFonts w:ascii="Century" w:hAnsi="Century"/>
          <w:bCs/>
          <w:sz w:val="28"/>
          <w:szCs w:val="28"/>
        </w:rPr>
      </w:pPr>
    </w:p>
    <w:p w14:paraId="2C7F4E1B" w14:textId="77777777" w:rsidR="00310469" w:rsidRPr="008117E6" w:rsidRDefault="00310469">
      <w:pPr>
        <w:jc w:val="center"/>
        <w:rPr>
          <w:rFonts w:ascii="Century" w:hAnsi="Century"/>
          <w:bCs/>
          <w:sz w:val="28"/>
          <w:szCs w:val="28"/>
        </w:rPr>
      </w:pPr>
    </w:p>
    <w:tbl>
      <w:tblPr>
        <w:tblW w:w="9360" w:type="dxa"/>
        <w:tblInd w:w="-6" w:type="dxa"/>
        <w:tblLayout w:type="fixed"/>
        <w:tblCellMar>
          <w:left w:w="0" w:type="dxa"/>
          <w:right w:w="0" w:type="dxa"/>
        </w:tblCellMar>
        <w:tblLook w:val="0000" w:firstRow="0" w:lastRow="0" w:firstColumn="0" w:lastColumn="0" w:noHBand="0" w:noVBand="0"/>
      </w:tblPr>
      <w:tblGrid>
        <w:gridCol w:w="5496"/>
        <w:gridCol w:w="3864"/>
      </w:tblGrid>
      <w:tr w:rsidR="00E07F9F" w:rsidRPr="008117E6" w14:paraId="7708402A" w14:textId="77777777" w:rsidTr="00B61C6D">
        <w:tc>
          <w:tcPr>
            <w:tcW w:w="5496" w:type="dxa"/>
            <w:tcBorders>
              <w:bottom w:val="single" w:sz="4" w:space="0" w:color="auto"/>
              <w:right w:val="single" w:sz="4" w:space="0" w:color="auto"/>
            </w:tcBorders>
          </w:tcPr>
          <w:p w14:paraId="2AE429AB" w14:textId="77777777" w:rsidR="00B266C0" w:rsidRPr="001F6F5E" w:rsidRDefault="00D10740" w:rsidP="00E07F9F">
            <w:pPr>
              <w:spacing w:line="240" w:lineRule="auto"/>
              <w:ind w:right="432"/>
              <w:rPr>
                <w:rFonts w:ascii="Century" w:hAnsi="Century"/>
                <w:bCs/>
                <w:sz w:val="24"/>
                <w:szCs w:val="24"/>
              </w:rPr>
            </w:pPr>
            <w:bookmarkStart w:id="0" w:name="Parties"/>
            <w:bookmarkEnd w:id="0"/>
            <w:r w:rsidRPr="001F6F5E">
              <w:rPr>
                <w:rFonts w:ascii="Century" w:hAnsi="Century"/>
                <w:bCs/>
                <w:sz w:val="24"/>
                <w:szCs w:val="24"/>
              </w:rPr>
              <w:t xml:space="preserve">Karan </w:t>
            </w:r>
            <w:r w:rsidRPr="001F6F5E">
              <w:rPr>
                <w:rFonts w:ascii="Century" w:hAnsi="Century"/>
                <w:b/>
                <w:sz w:val="24"/>
                <w:szCs w:val="24"/>
              </w:rPr>
              <w:t>PAL</w:t>
            </w:r>
            <w:r w:rsidR="00F92545" w:rsidRPr="001F6F5E">
              <w:rPr>
                <w:rFonts w:ascii="Century" w:hAnsi="Century"/>
                <w:b/>
                <w:sz w:val="24"/>
                <w:szCs w:val="24"/>
              </w:rPr>
              <w:t xml:space="preserve"> </w:t>
            </w:r>
          </w:p>
          <w:p w14:paraId="0E1F4005" w14:textId="77777777" w:rsidR="002D688C" w:rsidRPr="001F6F5E" w:rsidRDefault="002D688C" w:rsidP="00E07F9F">
            <w:pPr>
              <w:spacing w:line="240" w:lineRule="auto"/>
              <w:ind w:right="432"/>
              <w:rPr>
                <w:rFonts w:ascii="Century" w:hAnsi="Century"/>
                <w:bCs/>
                <w:sz w:val="24"/>
                <w:szCs w:val="24"/>
              </w:rPr>
            </w:pPr>
          </w:p>
          <w:p w14:paraId="5FE7AA73" w14:textId="77777777" w:rsidR="00E07F9F" w:rsidRPr="001F6F5E" w:rsidRDefault="00E07F9F" w:rsidP="001F6F5E">
            <w:pPr>
              <w:spacing w:line="240" w:lineRule="auto"/>
              <w:rPr>
                <w:rFonts w:ascii="Century" w:hAnsi="Century"/>
                <w:bCs/>
                <w:sz w:val="24"/>
                <w:szCs w:val="24"/>
              </w:rPr>
            </w:pPr>
            <w:r w:rsidRPr="001F6F5E">
              <w:rPr>
                <w:rFonts w:ascii="Century" w:hAnsi="Century"/>
                <w:bCs/>
                <w:sz w:val="24"/>
                <w:szCs w:val="24"/>
              </w:rPr>
              <w:t>Petitioner,</w:t>
            </w:r>
          </w:p>
          <w:p w14:paraId="5582E52D" w14:textId="77777777" w:rsidR="00E07F9F" w:rsidRPr="001F6F5E" w:rsidRDefault="00E07F9F">
            <w:pPr>
              <w:rPr>
                <w:rFonts w:ascii="Century" w:hAnsi="Century"/>
                <w:bCs/>
                <w:sz w:val="24"/>
                <w:szCs w:val="24"/>
              </w:rPr>
            </w:pPr>
            <w:r w:rsidRPr="001F6F5E">
              <w:rPr>
                <w:rFonts w:ascii="Century" w:hAnsi="Century"/>
                <w:bCs/>
                <w:sz w:val="24"/>
                <w:szCs w:val="24"/>
              </w:rPr>
              <w:tab/>
              <w:t>vs.</w:t>
            </w:r>
          </w:p>
          <w:p w14:paraId="199EE2AA"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
                <w:color w:val="000000"/>
                <w:sz w:val="24"/>
                <w:szCs w:val="24"/>
              </w:rPr>
              <w:t>UNITED STATES CITIZENSHIP AND IMMIGRATION SERVICES</w:t>
            </w:r>
            <w:r w:rsidRPr="001F6F5E">
              <w:rPr>
                <w:rFonts w:ascii="Century" w:hAnsi="Century"/>
                <w:bCs/>
                <w:color w:val="000000"/>
                <w:sz w:val="24"/>
                <w:szCs w:val="24"/>
              </w:rPr>
              <w:t xml:space="preserve">, </w:t>
            </w:r>
          </w:p>
          <w:p w14:paraId="7F6A5C23"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Cs/>
                <w:color w:val="000000"/>
                <w:sz w:val="24"/>
                <w:szCs w:val="24"/>
              </w:rPr>
              <w:t>an agency of the U.S. government;</w:t>
            </w:r>
          </w:p>
          <w:p w14:paraId="2E5D9663" w14:textId="77777777" w:rsidR="001F6F5E" w:rsidRPr="001F6F5E" w:rsidRDefault="001F6F5E" w:rsidP="00C85109">
            <w:pPr>
              <w:spacing w:line="240" w:lineRule="auto"/>
              <w:rPr>
                <w:rFonts w:ascii="Century" w:hAnsi="Century"/>
                <w:bCs/>
                <w:color w:val="000000"/>
                <w:sz w:val="24"/>
                <w:szCs w:val="24"/>
              </w:rPr>
            </w:pPr>
          </w:p>
          <w:p w14:paraId="575F2E8D"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
                <w:color w:val="000000"/>
                <w:sz w:val="24"/>
                <w:szCs w:val="24"/>
              </w:rPr>
              <w:t>UNITED STATES DEPARTMENT OF HOMELAND SECURITY</w:t>
            </w:r>
            <w:r w:rsidRPr="001F6F5E">
              <w:rPr>
                <w:rFonts w:ascii="Century" w:hAnsi="Century"/>
                <w:bCs/>
                <w:color w:val="000000"/>
                <w:sz w:val="24"/>
                <w:szCs w:val="24"/>
              </w:rPr>
              <w:t>,</w:t>
            </w:r>
          </w:p>
          <w:p w14:paraId="7989C836"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Cs/>
                <w:color w:val="000000"/>
                <w:sz w:val="24"/>
                <w:szCs w:val="24"/>
              </w:rPr>
              <w:t>an agency of the U.S. Government</w:t>
            </w:r>
            <w:r w:rsidR="001F6F5E" w:rsidRPr="001F6F5E">
              <w:rPr>
                <w:rFonts w:ascii="Century" w:hAnsi="Century"/>
                <w:bCs/>
                <w:color w:val="000000"/>
                <w:sz w:val="24"/>
                <w:szCs w:val="24"/>
              </w:rPr>
              <w:t>;</w:t>
            </w:r>
          </w:p>
          <w:p w14:paraId="35D2BC86" w14:textId="77777777" w:rsidR="001F6F5E" w:rsidRPr="001F6F5E" w:rsidRDefault="001F6F5E" w:rsidP="00C85109">
            <w:pPr>
              <w:spacing w:line="240" w:lineRule="auto"/>
              <w:rPr>
                <w:rFonts w:ascii="Century" w:hAnsi="Century"/>
                <w:bCs/>
                <w:color w:val="000000"/>
                <w:sz w:val="24"/>
                <w:szCs w:val="24"/>
              </w:rPr>
            </w:pPr>
          </w:p>
          <w:p w14:paraId="709732B9"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
                <w:color w:val="000000"/>
                <w:sz w:val="24"/>
                <w:szCs w:val="24"/>
              </w:rPr>
              <w:t>UNITED STATES DEPARTMENT OF JUSTICE</w:t>
            </w:r>
            <w:r w:rsidRPr="001F6F5E">
              <w:rPr>
                <w:rFonts w:ascii="Century" w:hAnsi="Century"/>
                <w:bCs/>
                <w:color w:val="000000"/>
                <w:sz w:val="24"/>
                <w:szCs w:val="24"/>
              </w:rPr>
              <w:t>, an agency of the U.S. Government</w:t>
            </w:r>
          </w:p>
          <w:p w14:paraId="7381DF6F" w14:textId="77777777" w:rsidR="00E07F9F" w:rsidRPr="001F6F5E" w:rsidRDefault="00E07F9F" w:rsidP="00E07F9F">
            <w:pPr>
              <w:spacing w:line="240" w:lineRule="auto"/>
              <w:jc w:val="center"/>
              <w:rPr>
                <w:rFonts w:ascii="Century" w:hAnsi="Century"/>
                <w:bCs/>
                <w:sz w:val="24"/>
                <w:szCs w:val="24"/>
              </w:rPr>
            </w:pPr>
          </w:p>
          <w:p w14:paraId="5865ABD2" w14:textId="77777777" w:rsidR="00E07F9F" w:rsidRPr="001F6F5E" w:rsidRDefault="00E07F9F" w:rsidP="00E07F9F">
            <w:pPr>
              <w:spacing w:line="240" w:lineRule="auto"/>
              <w:jc w:val="center"/>
              <w:rPr>
                <w:rFonts w:ascii="Century" w:hAnsi="Century"/>
                <w:bCs/>
                <w:sz w:val="24"/>
                <w:szCs w:val="24"/>
              </w:rPr>
            </w:pPr>
            <w:r w:rsidRPr="001F6F5E">
              <w:rPr>
                <w:rFonts w:ascii="Century" w:hAnsi="Century"/>
                <w:bCs/>
                <w:sz w:val="24"/>
                <w:szCs w:val="24"/>
              </w:rPr>
              <w:t>Respondent</w:t>
            </w:r>
            <w:r w:rsidR="00C85109" w:rsidRPr="001F6F5E">
              <w:rPr>
                <w:rFonts w:ascii="Century" w:hAnsi="Century"/>
                <w:bCs/>
                <w:sz w:val="24"/>
                <w:szCs w:val="24"/>
              </w:rPr>
              <w:t>s</w:t>
            </w:r>
            <w:r w:rsidR="00B266C0" w:rsidRPr="001F6F5E">
              <w:rPr>
                <w:rFonts w:ascii="Century" w:hAnsi="Century"/>
                <w:bCs/>
                <w:sz w:val="24"/>
                <w:szCs w:val="24"/>
              </w:rPr>
              <w:t>.</w:t>
            </w:r>
          </w:p>
          <w:p w14:paraId="4F7D72ED" w14:textId="77777777" w:rsidR="00E07F9F" w:rsidRPr="008117E6" w:rsidRDefault="00E07F9F" w:rsidP="00E07F9F">
            <w:pPr>
              <w:spacing w:line="240" w:lineRule="auto"/>
              <w:jc w:val="center"/>
              <w:rPr>
                <w:rFonts w:ascii="Century" w:hAnsi="Century"/>
                <w:bCs/>
                <w:sz w:val="28"/>
                <w:szCs w:val="28"/>
              </w:rPr>
            </w:pPr>
          </w:p>
        </w:tc>
        <w:tc>
          <w:tcPr>
            <w:tcW w:w="3864" w:type="dxa"/>
            <w:tcBorders>
              <w:left w:val="single" w:sz="4" w:space="0" w:color="auto"/>
              <w:bottom w:val="single" w:sz="4" w:space="0" w:color="auto"/>
            </w:tcBorders>
          </w:tcPr>
          <w:p w14:paraId="1AAECD8F" w14:textId="77777777" w:rsidR="00E07F9F" w:rsidRPr="008117E6" w:rsidRDefault="00E07F9F" w:rsidP="00B266C0">
            <w:pPr>
              <w:pStyle w:val="SingleSpacing"/>
              <w:ind w:left="270"/>
              <w:rPr>
                <w:rFonts w:ascii="Century" w:hAnsi="Century"/>
                <w:bCs/>
                <w:sz w:val="28"/>
                <w:szCs w:val="28"/>
              </w:rPr>
            </w:pPr>
            <w:bookmarkStart w:id="1" w:name="CaseNumber"/>
            <w:bookmarkEnd w:id="1"/>
          </w:p>
          <w:p w14:paraId="3F10AA29" w14:textId="77777777" w:rsidR="00E07F9F" w:rsidRPr="008117E6" w:rsidRDefault="00E07F9F" w:rsidP="008201E3">
            <w:pPr>
              <w:pStyle w:val="SingleSpacing"/>
              <w:rPr>
                <w:rFonts w:ascii="Century" w:hAnsi="Century"/>
                <w:bCs/>
                <w:sz w:val="28"/>
                <w:szCs w:val="28"/>
              </w:rPr>
            </w:pPr>
          </w:p>
          <w:p w14:paraId="7D5CBE1C" w14:textId="77777777" w:rsidR="00E07F9F" w:rsidRPr="008117E6" w:rsidRDefault="00E07F9F" w:rsidP="008117E6">
            <w:pPr>
              <w:pStyle w:val="SingleSpacing"/>
              <w:spacing w:line="360" w:lineRule="auto"/>
              <w:ind w:left="274"/>
              <w:rPr>
                <w:rFonts w:ascii="Century" w:hAnsi="Century"/>
                <w:bCs/>
                <w:sz w:val="28"/>
                <w:szCs w:val="28"/>
              </w:rPr>
            </w:pPr>
            <w:r w:rsidRPr="008117E6">
              <w:rPr>
                <w:rFonts w:ascii="Century" w:hAnsi="Century"/>
                <w:bCs/>
                <w:sz w:val="28"/>
                <w:szCs w:val="28"/>
              </w:rPr>
              <w:t>Case No.</w:t>
            </w:r>
            <w:r w:rsidR="008117E6" w:rsidRPr="008117E6">
              <w:rPr>
                <w:rFonts w:ascii="Century" w:hAnsi="Century"/>
                <w:bCs/>
                <w:sz w:val="28"/>
                <w:szCs w:val="28"/>
              </w:rPr>
              <w:t xml:space="preserve"> </w:t>
            </w:r>
            <w:r w:rsidR="008117E6" w:rsidRPr="001F6F5E">
              <w:rPr>
                <w:rFonts w:ascii="Century" w:hAnsi="Century"/>
                <w:b/>
                <w:sz w:val="28"/>
                <w:szCs w:val="28"/>
              </w:rPr>
              <w:t>1:20-cv-00011</w:t>
            </w:r>
          </w:p>
          <w:p w14:paraId="69F6227E" w14:textId="77777777" w:rsidR="00E07F9F" w:rsidRPr="008117E6" w:rsidRDefault="00E07F9F" w:rsidP="008117E6">
            <w:pPr>
              <w:pStyle w:val="SingleSpacing"/>
              <w:spacing w:line="360" w:lineRule="auto"/>
              <w:ind w:left="274"/>
              <w:rPr>
                <w:rFonts w:ascii="Century" w:hAnsi="Century"/>
                <w:bCs/>
                <w:sz w:val="28"/>
                <w:szCs w:val="28"/>
              </w:rPr>
            </w:pPr>
          </w:p>
          <w:p w14:paraId="22963263" w14:textId="77777777" w:rsidR="00E07F9F" w:rsidRPr="008117E6" w:rsidRDefault="008117E6" w:rsidP="008117E6">
            <w:pPr>
              <w:spacing w:line="360" w:lineRule="auto"/>
              <w:ind w:left="274" w:right="432"/>
              <w:rPr>
                <w:rFonts w:ascii="Century" w:hAnsi="Century"/>
                <w:bCs/>
                <w:sz w:val="28"/>
                <w:szCs w:val="28"/>
              </w:rPr>
            </w:pPr>
            <w:r>
              <w:rPr>
                <w:rFonts w:ascii="Century" w:hAnsi="Century"/>
                <w:bCs/>
                <w:sz w:val="28"/>
                <w:szCs w:val="28"/>
              </w:rPr>
              <w:t xml:space="preserve">Immigration file </w:t>
            </w:r>
            <w:r w:rsidR="001F6F5E">
              <w:rPr>
                <w:rFonts w:ascii="Century" w:hAnsi="Century"/>
                <w:bCs/>
                <w:sz w:val="28"/>
                <w:szCs w:val="28"/>
              </w:rPr>
              <w:t>No.</w:t>
            </w:r>
            <w:r w:rsidR="00171792" w:rsidRPr="008117E6">
              <w:rPr>
                <w:rFonts w:ascii="Century" w:hAnsi="Century"/>
                <w:bCs/>
                <w:sz w:val="28"/>
                <w:szCs w:val="28"/>
              </w:rPr>
              <w:t xml:space="preserve">:  </w:t>
            </w:r>
          </w:p>
          <w:p w14:paraId="7717C80B" w14:textId="77777777" w:rsidR="00E07F9F" w:rsidRPr="008117E6" w:rsidRDefault="00171792" w:rsidP="008117E6">
            <w:pPr>
              <w:spacing w:line="360" w:lineRule="auto"/>
              <w:ind w:left="274" w:right="432"/>
              <w:rPr>
                <w:rFonts w:ascii="Century" w:hAnsi="Century"/>
                <w:bCs/>
                <w:sz w:val="28"/>
                <w:szCs w:val="28"/>
              </w:rPr>
            </w:pPr>
            <w:r w:rsidRPr="008117E6">
              <w:rPr>
                <w:rFonts w:ascii="Century" w:hAnsi="Century"/>
                <w:bCs/>
                <w:sz w:val="28"/>
                <w:szCs w:val="28"/>
              </w:rPr>
              <w:t xml:space="preserve">A </w:t>
            </w:r>
            <w:r w:rsidR="00A47F78" w:rsidRPr="008117E6">
              <w:rPr>
                <w:rFonts w:ascii="Century" w:hAnsi="Century"/>
                <w:bCs/>
                <w:sz w:val="28"/>
                <w:szCs w:val="28"/>
              </w:rPr>
              <w:t>203 676 320</w:t>
            </w:r>
          </w:p>
          <w:p w14:paraId="66624428" w14:textId="77777777" w:rsidR="00E07F9F" w:rsidRPr="008117E6" w:rsidRDefault="00E07F9F" w:rsidP="008117E6">
            <w:pPr>
              <w:pStyle w:val="SingleSpacing"/>
              <w:spacing w:line="360" w:lineRule="auto"/>
              <w:ind w:left="274"/>
              <w:rPr>
                <w:rFonts w:ascii="Century" w:hAnsi="Century"/>
                <w:bCs/>
                <w:sz w:val="28"/>
                <w:szCs w:val="28"/>
              </w:rPr>
            </w:pPr>
          </w:p>
          <w:p w14:paraId="4545BBF1" w14:textId="77777777" w:rsidR="00A27147" w:rsidRDefault="001F6F5E" w:rsidP="008117E6">
            <w:pPr>
              <w:pStyle w:val="SingleSpacing"/>
              <w:spacing w:line="360" w:lineRule="auto"/>
              <w:ind w:left="274"/>
              <w:rPr>
                <w:rFonts w:ascii="Century" w:hAnsi="Century"/>
                <w:bCs/>
                <w:smallCaps/>
                <w:sz w:val="28"/>
                <w:szCs w:val="28"/>
              </w:rPr>
            </w:pPr>
            <w:r>
              <w:rPr>
                <w:rFonts w:ascii="Century" w:hAnsi="Century"/>
                <w:bCs/>
                <w:smallCaps/>
                <w:sz w:val="28"/>
                <w:szCs w:val="28"/>
              </w:rPr>
              <w:t xml:space="preserve">Petitioner’s </w:t>
            </w:r>
            <w:r w:rsidR="009711E5">
              <w:rPr>
                <w:rFonts w:ascii="Century" w:hAnsi="Century"/>
                <w:bCs/>
                <w:smallCaps/>
                <w:sz w:val="28"/>
                <w:szCs w:val="28"/>
              </w:rPr>
              <w:t xml:space="preserve">Response </w:t>
            </w:r>
          </w:p>
          <w:p w14:paraId="62DD9D9A" w14:textId="1CC82525" w:rsidR="00B266C0" w:rsidRPr="008117E6" w:rsidRDefault="009711E5" w:rsidP="008117E6">
            <w:pPr>
              <w:pStyle w:val="SingleSpacing"/>
              <w:spacing w:line="360" w:lineRule="auto"/>
              <w:ind w:left="274"/>
              <w:rPr>
                <w:rFonts w:ascii="Century" w:hAnsi="Century"/>
                <w:bCs/>
                <w:smallCaps/>
                <w:sz w:val="28"/>
                <w:szCs w:val="28"/>
              </w:rPr>
            </w:pPr>
            <w:r>
              <w:rPr>
                <w:rFonts w:ascii="Century" w:hAnsi="Century"/>
                <w:bCs/>
                <w:smallCaps/>
                <w:sz w:val="28"/>
                <w:szCs w:val="28"/>
              </w:rPr>
              <w:t>to Report and Recommendation</w:t>
            </w:r>
          </w:p>
          <w:p w14:paraId="6AF40C70" w14:textId="77777777" w:rsidR="00E07F9F" w:rsidRPr="008117E6" w:rsidRDefault="00E07F9F" w:rsidP="008117E6">
            <w:pPr>
              <w:pStyle w:val="SingleSpacing"/>
              <w:spacing w:line="360" w:lineRule="auto"/>
              <w:ind w:left="274"/>
              <w:jc w:val="center"/>
              <w:rPr>
                <w:rFonts w:ascii="Century" w:hAnsi="Century"/>
                <w:bCs/>
                <w:smallCaps/>
                <w:sz w:val="28"/>
                <w:szCs w:val="28"/>
              </w:rPr>
            </w:pPr>
          </w:p>
          <w:p w14:paraId="2F8E0951" w14:textId="77777777" w:rsidR="00E07F9F" w:rsidRPr="008117E6" w:rsidRDefault="00E07F9F" w:rsidP="00B266C0">
            <w:pPr>
              <w:pStyle w:val="SingleSpacing"/>
              <w:ind w:left="270"/>
              <w:rPr>
                <w:rFonts w:ascii="Century" w:hAnsi="Century"/>
                <w:bCs/>
                <w:sz w:val="28"/>
                <w:szCs w:val="28"/>
              </w:rPr>
            </w:pPr>
          </w:p>
        </w:tc>
      </w:tr>
    </w:tbl>
    <w:p w14:paraId="12928000" w14:textId="77777777" w:rsidR="00E07F9F" w:rsidRDefault="00E07F9F">
      <w:pPr>
        <w:rPr>
          <w:rFonts w:ascii="Century" w:hAnsi="Century"/>
          <w:sz w:val="28"/>
          <w:szCs w:val="28"/>
        </w:rPr>
      </w:pPr>
    </w:p>
    <w:p w14:paraId="1945337A" w14:textId="2A57D02A" w:rsidR="00310469" w:rsidRDefault="00310469">
      <w:pPr>
        <w:rPr>
          <w:rFonts w:ascii="Century" w:hAnsi="Century"/>
          <w:sz w:val="28"/>
          <w:szCs w:val="28"/>
        </w:rPr>
      </w:pPr>
    </w:p>
    <w:p w14:paraId="2ADF2677" w14:textId="499154E2" w:rsidR="00F503F7" w:rsidRDefault="00F503F7" w:rsidP="00F503F7">
      <w:pPr>
        <w:pStyle w:val="SignatureBlock"/>
        <w:spacing w:line="480" w:lineRule="auto"/>
        <w:ind w:left="936"/>
        <w:rPr>
          <w:rFonts w:ascii="Century" w:hAnsi="Century"/>
          <w:sz w:val="24"/>
          <w:szCs w:val="24"/>
        </w:rPr>
      </w:pPr>
    </w:p>
    <w:p w14:paraId="67724F1F" w14:textId="27523D1E" w:rsidR="00A27147" w:rsidRDefault="00A27147" w:rsidP="00F503F7">
      <w:pPr>
        <w:pStyle w:val="SignatureBlock"/>
        <w:spacing w:line="480" w:lineRule="auto"/>
        <w:ind w:left="936"/>
        <w:rPr>
          <w:rFonts w:ascii="Century" w:hAnsi="Century"/>
          <w:sz w:val="24"/>
          <w:szCs w:val="24"/>
        </w:rPr>
      </w:pPr>
    </w:p>
    <w:p w14:paraId="18FF6E1C" w14:textId="1A2FE338" w:rsidR="00A27147" w:rsidRDefault="00A27147" w:rsidP="00F503F7">
      <w:pPr>
        <w:pStyle w:val="SignatureBlock"/>
        <w:spacing w:line="480" w:lineRule="auto"/>
        <w:ind w:left="936"/>
        <w:rPr>
          <w:rFonts w:ascii="Century" w:hAnsi="Century"/>
          <w:sz w:val="24"/>
          <w:szCs w:val="24"/>
        </w:rPr>
      </w:pPr>
    </w:p>
    <w:p w14:paraId="3A2C93EA" w14:textId="5B33572A" w:rsidR="00A27147" w:rsidRDefault="00A27147" w:rsidP="00F503F7">
      <w:pPr>
        <w:pStyle w:val="SignatureBlock"/>
        <w:spacing w:line="480" w:lineRule="auto"/>
        <w:ind w:left="936"/>
        <w:rPr>
          <w:rFonts w:ascii="Century" w:hAnsi="Century"/>
          <w:sz w:val="24"/>
          <w:szCs w:val="24"/>
        </w:rPr>
      </w:pPr>
    </w:p>
    <w:p w14:paraId="5BA3DA52" w14:textId="37FB637E" w:rsidR="00A27147" w:rsidRDefault="00A27147" w:rsidP="00F503F7">
      <w:pPr>
        <w:pStyle w:val="SignatureBlock"/>
        <w:spacing w:line="480" w:lineRule="auto"/>
        <w:ind w:left="936"/>
        <w:rPr>
          <w:rFonts w:ascii="Century" w:hAnsi="Century"/>
          <w:sz w:val="24"/>
          <w:szCs w:val="24"/>
        </w:rPr>
      </w:pPr>
    </w:p>
    <w:p w14:paraId="42249B3C" w14:textId="7041B4F3" w:rsidR="00A27147" w:rsidRDefault="00A27147" w:rsidP="00B16B7C">
      <w:pPr>
        <w:pStyle w:val="SignatureBlock"/>
        <w:spacing w:line="480" w:lineRule="auto"/>
        <w:ind w:left="720" w:right="720" w:firstLine="720"/>
        <w:rPr>
          <w:rFonts w:ascii="Century" w:hAnsi="Century"/>
          <w:sz w:val="24"/>
          <w:szCs w:val="24"/>
        </w:rPr>
      </w:pPr>
      <w:r>
        <w:rPr>
          <w:rFonts w:ascii="Century" w:hAnsi="Century"/>
          <w:sz w:val="24"/>
          <w:szCs w:val="24"/>
        </w:rPr>
        <w:lastRenderedPageBreak/>
        <w:t xml:space="preserve">The Court has been provided with a Report and Recommendation suggesting that this Court has no jurisdiction to hear a Petition for Writ of Habeas Corpus because the REAL ID Act </w:t>
      </w:r>
      <w:r w:rsidRPr="00A27147">
        <w:rPr>
          <w:rFonts w:ascii="Century" w:hAnsi="Century"/>
          <w:sz w:val="24"/>
          <w:szCs w:val="24"/>
        </w:rPr>
        <w:t>“divested federal [district] courts of jurisdiction over § 2241 [habeas] petitions attacking removal orders</w:t>
      </w:r>
      <w:r w:rsidR="00955868">
        <w:rPr>
          <w:rFonts w:ascii="Century" w:hAnsi="Century"/>
          <w:sz w:val="24"/>
          <w:szCs w:val="24"/>
        </w:rPr>
        <w:t>,</w:t>
      </w:r>
      <w:r w:rsidRPr="00A27147">
        <w:rPr>
          <w:rFonts w:ascii="Century" w:hAnsi="Century"/>
          <w:sz w:val="24"/>
          <w:szCs w:val="24"/>
        </w:rPr>
        <w:t xml:space="preserve">” </w:t>
      </w:r>
      <w:r w:rsidR="00CE466A">
        <w:rPr>
          <w:rFonts w:ascii="Century" w:hAnsi="Century"/>
          <w:sz w:val="24"/>
          <w:szCs w:val="24"/>
        </w:rPr>
        <w:t>(Dkt. 12</w:t>
      </w:r>
      <w:r w:rsidR="00B16B7C">
        <w:rPr>
          <w:rFonts w:ascii="Century" w:hAnsi="Century"/>
          <w:sz w:val="24"/>
          <w:szCs w:val="24"/>
        </w:rPr>
        <w:t xml:space="preserve"> page 2)</w:t>
      </w:r>
      <w:r w:rsidR="00955868">
        <w:rPr>
          <w:rFonts w:ascii="Century" w:hAnsi="Century"/>
          <w:sz w:val="24"/>
          <w:szCs w:val="24"/>
        </w:rPr>
        <w:t xml:space="preserve">including “expedited” removal orders of the type issued to Mr. Pal. </w:t>
      </w:r>
    </w:p>
    <w:p w14:paraId="2D316878" w14:textId="77777777" w:rsidR="00FE2671" w:rsidRDefault="00955868" w:rsidP="00B16B7C">
      <w:pPr>
        <w:pStyle w:val="SignatureBlock"/>
        <w:spacing w:line="480" w:lineRule="auto"/>
        <w:ind w:left="720" w:right="720" w:firstLine="720"/>
        <w:rPr>
          <w:rFonts w:ascii="Century" w:hAnsi="Century"/>
          <w:sz w:val="24"/>
          <w:szCs w:val="24"/>
        </w:rPr>
      </w:pPr>
      <w:r>
        <w:rPr>
          <w:rFonts w:ascii="Century" w:hAnsi="Century"/>
          <w:sz w:val="24"/>
          <w:szCs w:val="24"/>
        </w:rPr>
        <w:t xml:space="preserve">Mr. Pal brings to the Court’s attention violations of Article V of the  U.S. Constitution – the right to due process.  </w:t>
      </w:r>
    </w:p>
    <w:p w14:paraId="6377CFC8" w14:textId="3460A5D8" w:rsidR="00955868" w:rsidRDefault="00FE2671" w:rsidP="00B16B7C">
      <w:pPr>
        <w:pStyle w:val="SignatureBlock"/>
        <w:spacing w:line="480" w:lineRule="auto"/>
        <w:ind w:left="720" w:right="720" w:firstLine="720"/>
        <w:rPr>
          <w:rFonts w:ascii="Century" w:hAnsi="Century"/>
          <w:sz w:val="24"/>
          <w:szCs w:val="24"/>
        </w:rPr>
      </w:pPr>
      <w:r>
        <w:rPr>
          <w:rFonts w:ascii="Century" w:hAnsi="Century"/>
          <w:sz w:val="24"/>
          <w:szCs w:val="24"/>
        </w:rPr>
        <w:t xml:space="preserve">Due </w:t>
      </w:r>
      <w:r w:rsidR="00CE466A">
        <w:rPr>
          <w:rFonts w:ascii="Century" w:hAnsi="Century"/>
          <w:sz w:val="24"/>
          <w:szCs w:val="24"/>
        </w:rPr>
        <w:t>p</w:t>
      </w:r>
      <w:r>
        <w:rPr>
          <w:rFonts w:ascii="Century" w:hAnsi="Century"/>
          <w:sz w:val="24"/>
          <w:szCs w:val="24"/>
        </w:rPr>
        <w:t>rocess is a</w:t>
      </w:r>
      <w:r w:rsidR="00955868">
        <w:rPr>
          <w:rFonts w:ascii="Century" w:hAnsi="Century"/>
          <w:sz w:val="24"/>
          <w:szCs w:val="24"/>
        </w:rPr>
        <w:t xml:space="preserve"> crucial safeguard and a fundamental pillar of this country’s social compact</w:t>
      </w:r>
      <w:r>
        <w:rPr>
          <w:rFonts w:ascii="Century" w:hAnsi="Century"/>
          <w:sz w:val="24"/>
          <w:szCs w:val="24"/>
        </w:rPr>
        <w:t>.</w:t>
      </w:r>
      <w:r w:rsidR="00955868">
        <w:rPr>
          <w:rFonts w:ascii="Century" w:hAnsi="Century"/>
          <w:sz w:val="24"/>
          <w:szCs w:val="24"/>
        </w:rPr>
        <w:t xml:space="preserve"> </w:t>
      </w:r>
      <w:r>
        <w:rPr>
          <w:rFonts w:ascii="Century" w:hAnsi="Century"/>
          <w:sz w:val="24"/>
          <w:szCs w:val="24"/>
        </w:rPr>
        <w:t>Fundamental fairness and the right to be heard</w:t>
      </w:r>
      <w:r w:rsidR="00955868">
        <w:rPr>
          <w:rFonts w:ascii="Century" w:hAnsi="Century"/>
          <w:sz w:val="24"/>
          <w:szCs w:val="24"/>
        </w:rPr>
        <w:t xml:space="preserve"> render the United States </w:t>
      </w:r>
      <w:r>
        <w:rPr>
          <w:rFonts w:ascii="Century" w:hAnsi="Century"/>
          <w:sz w:val="24"/>
          <w:szCs w:val="24"/>
        </w:rPr>
        <w:t>the</w:t>
      </w:r>
      <w:r w:rsidR="00955868">
        <w:rPr>
          <w:rFonts w:ascii="Century" w:hAnsi="Century"/>
          <w:sz w:val="24"/>
          <w:szCs w:val="24"/>
        </w:rPr>
        <w:t xml:space="preserve"> “shining city on a hill”</w:t>
      </w:r>
      <w:r w:rsidR="00955868">
        <w:rPr>
          <w:rStyle w:val="FootnoteReference"/>
          <w:rFonts w:ascii="Century" w:hAnsi="Century"/>
          <w:sz w:val="24"/>
          <w:szCs w:val="24"/>
        </w:rPr>
        <w:footnoteReference w:id="1"/>
      </w:r>
      <w:r w:rsidR="00955868">
        <w:rPr>
          <w:rFonts w:ascii="Century" w:hAnsi="Century"/>
          <w:sz w:val="24"/>
          <w:szCs w:val="24"/>
        </w:rPr>
        <w:t xml:space="preserve"> and </w:t>
      </w:r>
      <w:r w:rsidR="00CE466A">
        <w:rPr>
          <w:rFonts w:ascii="Century" w:hAnsi="Century"/>
          <w:sz w:val="24"/>
          <w:szCs w:val="24"/>
        </w:rPr>
        <w:t>the</w:t>
      </w:r>
      <w:r w:rsidR="00955868">
        <w:rPr>
          <w:rFonts w:ascii="Century" w:hAnsi="Century"/>
          <w:sz w:val="24"/>
          <w:szCs w:val="24"/>
        </w:rPr>
        <w:t xml:space="preserve"> beacon </w:t>
      </w:r>
      <w:r>
        <w:rPr>
          <w:rFonts w:ascii="Century" w:hAnsi="Century"/>
          <w:sz w:val="24"/>
          <w:szCs w:val="24"/>
        </w:rPr>
        <w:t>of enlightenment</w:t>
      </w:r>
      <w:r w:rsidR="00CE466A">
        <w:rPr>
          <w:rFonts w:ascii="Century" w:hAnsi="Century"/>
          <w:sz w:val="24"/>
          <w:szCs w:val="24"/>
        </w:rPr>
        <w:t>, that not just Americans take pride in – but that gives inspiration to human beings the world over</w:t>
      </w:r>
      <w:r>
        <w:rPr>
          <w:rFonts w:ascii="Century" w:hAnsi="Century"/>
          <w:sz w:val="24"/>
          <w:szCs w:val="24"/>
        </w:rPr>
        <w:t xml:space="preserve">. </w:t>
      </w:r>
      <w:r w:rsidR="00B16B7C">
        <w:rPr>
          <w:rFonts w:ascii="Century" w:hAnsi="Century"/>
          <w:sz w:val="24"/>
          <w:szCs w:val="24"/>
        </w:rPr>
        <w:t>The Due Process guarantee</w:t>
      </w:r>
      <w:r>
        <w:rPr>
          <w:rFonts w:ascii="Century" w:hAnsi="Century"/>
          <w:sz w:val="24"/>
          <w:szCs w:val="24"/>
        </w:rPr>
        <w:t xml:space="preserve"> is an example of the best of our idealism – and it has </w:t>
      </w:r>
      <w:r w:rsidR="004F2F1D">
        <w:rPr>
          <w:rFonts w:ascii="Century" w:hAnsi="Century"/>
          <w:sz w:val="24"/>
          <w:szCs w:val="24"/>
        </w:rPr>
        <w:t>made our republic and ou</w:t>
      </w:r>
      <w:r w:rsidR="00CE466A">
        <w:rPr>
          <w:rFonts w:ascii="Century" w:hAnsi="Century"/>
          <w:sz w:val="24"/>
          <w:szCs w:val="24"/>
        </w:rPr>
        <w:t>r</w:t>
      </w:r>
      <w:r w:rsidR="004F2F1D">
        <w:rPr>
          <w:rFonts w:ascii="Century" w:hAnsi="Century"/>
          <w:sz w:val="24"/>
          <w:szCs w:val="24"/>
        </w:rPr>
        <w:t xml:space="preserve"> legal system work</w:t>
      </w:r>
      <w:r w:rsidR="00CE466A">
        <w:rPr>
          <w:rFonts w:ascii="Century" w:hAnsi="Century"/>
          <w:sz w:val="24"/>
          <w:szCs w:val="24"/>
        </w:rPr>
        <w:t>,</w:t>
      </w:r>
      <w:r w:rsidR="004F2F1D">
        <w:rPr>
          <w:rFonts w:ascii="Century" w:hAnsi="Century"/>
          <w:sz w:val="24"/>
          <w:szCs w:val="24"/>
        </w:rPr>
        <w:t xml:space="preserve"> since our country’s inception.</w:t>
      </w:r>
    </w:p>
    <w:p w14:paraId="70F325B4" w14:textId="0A12C5C8" w:rsidR="00F70DFC" w:rsidRDefault="00F70DFC" w:rsidP="00B16B7C">
      <w:pPr>
        <w:pStyle w:val="SignatureBlock"/>
        <w:spacing w:line="480" w:lineRule="auto"/>
        <w:ind w:left="720" w:right="720" w:firstLine="720"/>
        <w:rPr>
          <w:rFonts w:ascii="Century" w:hAnsi="Century"/>
          <w:sz w:val="24"/>
          <w:szCs w:val="24"/>
        </w:rPr>
      </w:pPr>
      <w:r>
        <w:rPr>
          <w:rFonts w:ascii="Century" w:hAnsi="Century"/>
          <w:sz w:val="24"/>
          <w:szCs w:val="24"/>
        </w:rPr>
        <w:t>Mr. Pal does not ask this Court to rule on the merits of his request for asylum</w:t>
      </w:r>
      <w:r w:rsidR="00B16B7C">
        <w:rPr>
          <w:rFonts w:ascii="Century" w:hAnsi="Century"/>
          <w:sz w:val="24"/>
          <w:szCs w:val="24"/>
        </w:rPr>
        <w:t xml:space="preserve"> or on the ultimate question of his removal</w:t>
      </w:r>
      <w:r>
        <w:rPr>
          <w:rFonts w:ascii="Century" w:hAnsi="Century"/>
          <w:sz w:val="24"/>
          <w:szCs w:val="24"/>
        </w:rPr>
        <w:t xml:space="preserve">.  He brings to the Court’s attention credible allegations that he has not </w:t>
      </w:r>
      <w:r>
        <w:rPr>
          <w:rFonts w:ascii="Century" w:hAnsi="Century"/>
          <w:sz w:val="24"/>
          <w:szCs w:val="24"/>
        </w:rPr>
        <w:lastRenderedPageBreak/>
        <w:t>been adequately heard</w:t>
      </w:r>
      <w:r w:rsidR="00B16B7C">
        <w:rPr>
          <w:rFonts w:ascii="Century" w:hAnsi="Century"/>
          <w:sz w:val="24"/>
          <w:szCs w:val="24"/>
        </w:rPr>
        <w:t>,</w:t>
      </w:r>
      <w:r>
        <w:rPr>
          <w:rFonts w:ascii="Century" w:hAnsi="Century"/>
          <w:sz w:val="24"/>
          <w:szCs w:val="24"/>
        </w:rPr>
        <w:t xml:space="preserve"> and that the actors in the administrative immigration system are not neutral adjudicators, but rather, are acting on an agenda that denies fundamental fairness.  He asks this Court to order the production of the full administrative record so that he can show the Court that the process afforded him does not comport with the law.</w:t>
      </w:r>
    </w:p>
    <w:p w14:paraId="3E444911" w14:textId="712FDE00" w:rsidR="00F70DFC" w:rsidRPr="00B30033" w:rsidRDefault="00F70DFC" w:rsidP="00B16B7C">
      <w:pPr>
        <w:pStyle w:val="SignatureBlock"/>
        <w:spacing w:line="480" w:lineRule="auto"/>
        <w:ind w:left="0"/>
        <w:jc w:val="center"/>
        <w:rPr>
          <w:rFonts w:ascii="Century" w:hAnsi="Century"/>
          <w:b/>
          <w:bCs/>
          <w:sz w:val="24"/>
          <w:szCs w:val="24"/>
          <w:u w:val="single"/>
        </w:rPr>
      </w:pPr>
      <w:r w:rsidRPr="00B30033">
        <w:rPr>
          <w:rFonts w:ascii="Century" w:hAnsi="Century"/>
          <w:b/>
          <w:bCs/>
          <w:sz w:val="24"/>
          <w:szCs w:val="24"/>
          <w:u w:val="single"/>
        </w:rPr>
        <w:t>Habeas Jurisdiction</w:t>
      </w:r>
    </w:p>
    <w:p w14:paraId="345D09CF" w14:textId="77777777" w:rsidR="00F70DFC" w:rsidRDefault="00ED5BC3" w:rsidP="00B16B7C">
      <w:pPr>
        <w:pStyle w:val="SignatureBlock"/>
        <w:spacing w:line="480" w:lineRule="auto"/>
        <w:ind w:left="720" w:right="720" w:firstLine="720"/>
        <w:rPr>
          <w:rFonts w:ascii="Century" w:hAnsi="Century"/>
          <w:sz w:val="24"/>
          <w:szCs w:val="24"/>
        </w:rPr>
      </w:pPr>
      <w:r w:rsidRPr="00ED5BC3">
        <w:rPr>
          <w:rFonts w:ascii="Century" w:hAnsi="Century"/>
          <w:sz w:val="24"/>
          <w:szCs w:val="24"/>
        </w:rPr>
        <w:t>District courts have "jurisdiction to determine whether the elimination of [their] federal habeas jurisdiction violates the Suspension Clause." </w:t>
      </w:r>
      <w:r w:rsidRPr="00ED5BC3">
        <w:rPr>
          <w:rFonts w:ascii="Century" w:hAnsi="Century"/>
          <w:i/>
          <w:iCs/>
          <w:sz w:val="24"/>
          <w:szCs w:val="24"/>
        </w:rPr>
        <w:t>Benitez-Garay v. Department of Homeland Security</w:t>
      </w:r>
      <w:r w:rsidRPr="00ED5BC3">
        <w:rPr>
          <w:rFonts w:ascii="Century" w:hAnsi="Century"/>
          <w:sz w:val="24"/>
          <w:szCs w:val="24"/>
        </w:rPr>
        <w:t>, No. SA-18-CA-422-XR, 2019 U.S. Dist. LEXIS 21294, 2019 WL 542035, at *7 (W.D. Tex. Feb. 8, 2019) (citing [*11]  </w:t>
      </w:r>
      <w:r w:rsidRPr="00ED5BC3">
        <w:rPr>
          <w:rFonts w:ascii="Century" w:hAnsi="Century"/>
          <w:i/>
          <w:iCs/>
          <w:sz w:val="24"/>
          <w:szCs w:val="24"/>
        </w:rPr>
        <w:t>Umuhoza v. United States Department of Homeland Security</w:t>
      </w:r>
      <w:r w:rsidRPr="00ED5BC3">
        <w:rPr>
          <w:rFonts w:ascii="Century" w:hAnsi="Century"/>
          <w:sz w:val="24"/>
          <w:szCs w:val="24"/>
        </w:rPr>
        <w:t xml:space="preserve">, 3:05-CV-164, 2008 U.S. Dist. LEXIS 129065, 2008 WL 11352573, at *7 (S.D. Ohio Aug. 28, 2008)). </w:t>
      </w:r>
    </w:p>
    <w:p w14:paraId="5AD7CCB2" w14:textId="23D4B1CA" w:rsidR="00F151FD" w:rsidRDefault="00ED5BC3" w:rsidP="00B16B7C">
      <w:pPr>
        <w:pStyle w:val="SignatureBlock"/>
        <w:spacing w:line="480" w:lineRule="auto"/>
        <w:ind w:left="720" w:right="720" w:firstLine="720"/>
        <w:rPr>
          <w:rFonts w:ascii="Century" w:hAnsi="Century"/>
          <w:sz w:val="24"/>
          <w:szCs w:val="24"/>
        </w:rPr>
      </w:pPr>
      <w:r w:rsidRPr="00ED5BC3">
        <w:rPr>
          <w:rFonts w:ascii="Century" w:hAnsi="Century"/>
          <w:sz w:val="24"/>
          <w:szCs w:val="24"/>
        </w:rPr>
        <w:t xml:space="preserve">The Suspension Clause </w:t>
      </w:r>
      <w:r w:rsidR="00F70DFC">
        <w:rPr>
          <w:rFonts w:ascii="Century" w:hAnsi="Century"/>
          <w:sz w:val="24"/>
          <w:szCs w:val="24"/>
        </w:rPr>
        <w:t xml:space="preserve">contained in the U.S. Constitution is crystal clear regarding the issue of </w:t>
      </w:r>
      <w:r w:rsidR="00F151FD">
        <w:rPr>
          <w:rFonts w:ascii="Century" w:hAnsi="Century"/>
          <w:sz w:val="24"/>
          <w:szCs w:val="24"/>
        </w:rPr>
        <w:t xml:space="preserve">a federal court’s jurisdiction.  It </w:t>
      </w:r>
      <w:r w:rsidRPr="00ED5BC3">
        <w:rPr>
          <w:rFonts w:ascii="Century" w:hAnsi="Century"/>
          <w:sz w:val="24"/>
          <w:szCs w:val="24"/>
        </w:rPr>
        <w:t xml:space="preserve">provides that </w:t>
      </w:r>
      <w:r w:rsidRPr="00ED5BC3">
        <w:rPr>
          <w:rFonts w:ascii="Century" w:hAnsi="Century"/>
          <w:b/>
          <w:bCs/>
          <w:i/>
          <w:iCs/>
          <w:sz w:val="24"/>
          <w:szCs w:val="24"/>
        </w:rPr>
        <w:t>"[t]he Privilege of the Writ of Habeas Corpus shall not be suspended, unless when in Cases of Rebellion or Invasion the public Safety may require it."</w:t>
      </w:r>
      <w:r w:rsidRPr="00ED5BC3">
        <w:rPr>
          <w:rFonts w:ascii="Century" w:hAnsi="Century"/>
          <w:i/>
          <w:iCs/>
          <w:sz w:val="24"/>
          <w:szCs w:val="24"/>
        </w:rPr>
        <w:t> </w:t>
      </w:r>
      <w:r w:rsidRPr="00ED5BC3">
        <w:rPr>
          <w:rFonts w:ascii="Century" w:hAnsi="Century"/>
          <w:sz w:val="24"/>
          <w:szCs w:val="24"/>
        </w:rPr>
        <w:t xml:space="preserve">U.S. Const. art. I, § 9, cl. 2. </w:t>
      </w:r>
    </w:p>
    <w:p w14:paraId="31B56627" w14:textId="037BAD2A" w:rsidR="00F151FD" w:rsidRDefault="00F151FD" w:rsidP="00B16B7C">
      <w:pPr>
        <w:pStyle w:val="SignatureBlock"/>
        <w:spacing w:line="480" w:lineRule="auto"/>
        <w:ind w:left="720" w:right="720" w:firstLine="720"/>
        <w:rPr>
          <w:rFonts w:ascii="Century" w:hAnsi="Century"/>
          <w:sz w:val="24"/>
          <w:szCs w:val="24"/>
        </w:rPr>
      </w:pPr>
      <w:r>
        <w:rPr>
          <w:rFonts w:ascii="Century" w:hAnsi="Century"/>
          <w:sz w:val="24"/>
          <w:szCs w:val="24"/>
        </w:rPr>
        <w:t>The Report and Recommendation (R&amp;R) does not assert that rebellion or invasion is pertinent to this case.  And of course it isn’t.</w:t>
      </w:r>
    </w:p>
    <w:p w14:paraId="0BEA7726" w14:textId="6C9DF9A5" w:rsidR="00F151FD" w:rsidRDefault="00F151FD" w:rsidP="00B16B7C">
      <w:pPr>
        <w:pStyle w:val="SignatureBlock"/>
        <w:spacing w:line="480" w:lineRule="auto"/>
        <w:ind w:left="720" w:right="720" w:firstLine="720"/>
        <w:rPr>
          <w:rFonts w:ascii="Century" w:hAnsi="Century"/>
          <w:sz w:val="24"/>
          <w:szCs w:val="24"/>
        </w:rPr>
      </w:pPr>
      <w:r>
        <w:rPr>
          <w:rFonts w:ascii="Century" w:hAnsi="Century"/>
          <w:sz w:val="24"/>
          <w:szCs w:val="24"/>
        </w:rPr>
        <w:lastRenderedPageBreak/>
        <w:t xml:space="preserve">The R&amp;R maintains that a statute, </w:t>
      </w:r>
      <w:r w:rsidRPr="00955868">
        <w:rPr>
          <w:rFonts w:ascii="Century" w:hAnsi="Century"/>
          <w:sz w:val="24"/>
          <w:szCs w:val="24"/>
        </w:rPr>
        <w:t>8 U.S.C.A. § 1252</w:t>
      </w:r>
      <w:r w:rsidR="001B70FE">
        <w:rPr>
          <w:rFonts w:ascii="Century" w:hAnsi="Century"/>
          <w:sz w:val="24"/>
          <w:szCs w:val="24"/>
        </w:rPr>
        <w:t xml:space="preserve"> (e)(2)</w:t>
      </w:r>
      <w:r>
        <w:rPr>
          <w:rFonts w:ascii="Century" w:hAnsi="Century"/>
          <w:sz w:val="24"/>
          <w:szCs w:val="24"/>
        </w:rPr>
        <w:t xml:space="preserve">, overrides a fundamental guarantee found in the U.S. Constitution.  Other </w:t>
      </w:r>
      <w:r w:rsidR="00B16B7C">
        <w:rPr>
          <w:rFonts w:ascii="Century" w:hAnsi="Century"/>
          <w:sz w:val="24"/>
          <w:szCs w:val="24"/>
        </w:rPr>
        <w:t>c</w:t>
      </w:r>
      <w:r>
        <w:rPr>
          <w:rFonts w:ascii="Century" w:hAnsi="Century"/>
          <w:sz w:val="24"/>
          <w:szCs w:val="24"/>
        </w:rPr>
        <w:t xml:space="preserve">ourts have rightly ruled that this cannot be so. </w:t>
      </w:r>
    </w:p>
    <w:p w14:paraId="38CF453D" w14:textId="5D2F00F2" w:rsidR="001B70FE" w:rsidRPr="00ED5BC3" w:rsidRDefault="00ED5BC3" w:rsidP="00B16B7C">
      <w:pPr>
        <w:pStyle w:val="SignatureBlock"/>
        <w:spacing w:line="480" w:lineRule="auto"/>
        <w:ind w:left="720" w:right="720" w:firstLine="720"/>
        <w:rPr>
          <w:rFonts w:ascii="Century" w:hAnsi="Century"/>
          <w:sz w:val="24"/>
          <w:szCs w:val="24"/>
        </w:rPr>
      </w:pPr>
      <w:r w:rsidRPr="00ED5BC3">
        <w:rPr>
          <w:rFonts w:ascii="Century" w:hAnsi="Century"/>
          <w:sz w:val="24"/>
          <w:szCs w:val="24"/>
        </w:rPr>
        <w:t xml:space="preserve">"The </w:t>
      </w:r>
      <w:r w:rsidR="00B16B7C">
        <w:rPr>
          <w:rFonts w:ascii="Century" w:hAnsi="Century"/>
          <w:sz w:val="24"/>
          <w:szCs w:val="24"/>
        </w:rPr>
        <w:t xml:space="preserve">[Suspension] </w:t>
      </w:r>
      <w:r w:rsidRPr="00ED5BC3">
        <w:rPr>
          <w:rFonts w:ascii="Century" w:hAnsi="Century"/>
          <w:sz w:val="24"/>
          <w:szCs w:val="24"/>
        </w:rPr>
        <w:t>Clause mandates 'some judicial intervention in deportation cases.'" </w:t>
      </w:r>
      <w:r w:rsidR="001B70FE" w:rsidRPr="001B70FE">
        <w:rPr>
          <w:rFonts w:ascii="Century" w:hAnsi="Century"/>
          <w:i/>
          <w:iCs/>
          <w:sz w:val="24"/>
          <w:szCs w:val="24"/>
        </w:rPr>
        <w:t xml:space="preserve">Rodrigues v. McAleenan, </w:t>
      </w:r>
      <w:r w:rsidR="001B70FE" w:rsidRPr="00140C91">
        <w:rPr>
          <w:rFonts w:ascii="Century" w:hAnsi="Century"/>
          <w:sz w:val="24"/>
          <w:szCs w:val="24"/>
        </w:rPr>
        <w:t>No. 3:20-CV-0139-B, 2020 U.S. Dist. LEXIS 10285 (N.D. Tex. Jan. 22, 2020)</w:t>
      </w:r>
      <w:r w:rsidRPr="00ED5BC3">
        <w:rPr>
          <w:rFonts w:ascii="Century" w:hAnsi="Century"/>
          <w:sz w:val="24"/>
          <w:szCs w:val="24"/>
        </w:rPr>
        <w:t>, WL 363041, (quoting </w:t>
      </w:r>
      <w:r w:rsidRPr="00ED5BC3">
        <w:rPr>
          <w:rFonts w:ascii="Century" w:hAnsi="Century"/>
          <w:i/>
          <w:iCs/>
          <w:sz w:val="24"/>
          <w:szCs w:val="24"/>
        </w:rPr>
        <w:t>Diaz Rodriguez v. U.S. Customs &amp; Border Protection</w:t>
      </w:r>
      <w:r w:rsidRPr="00ED5BC3">
        <w:rPr>
          <w:rFonts w:ascii="Century" w:hAnsi="Century"/>
          <w:sz w:val="24"/>
          <w:szCs w:val="24"/>
        </w:rPr>
        <w:t>, No. 6:14-CV-2716, 2014 U.S. Dist. LEXIS 131872, 2014 WL 4675182</w:t>
      </w:r>
      <w:r w:rsidR="00140C91">
        <w:rPr>
          <w:rFonts w:ascii="Century" w:hAnsi="Century"/>
          <w:sz w:val="24"/>
          <w:szCs w:val="24"/>
        </w:rPr>
        <w:t xml:space="preserve"> </w:t>
      </w:r>
      <w:r w:rsidRPr="00ED5BC3">
        <w:rPr>
          <w:rFonts w:ascii="Century" w:hAnsi="Century"/>
          <w:sz w:val="24"/>
          <w:szCs w:val="24"/>
        </w:rPr>
        <w:t>(W.D. La. Sept. 18, 2014), vacated sub nom. </w:t>
      </w:r>
      <w:r w:rsidRPr="00ED5BC3">
        <w:rPr>
          <w:rFonts w:ascii="Century" w:hAnsi="Century"/>
          <w:i/>
          <w:iCs/>
          <w:sz w:val="24"/>
          <w:szCs w:val="24"/>
        </w:rPr>
        <w:t>Diaz-Rodriguez v. Holder</w:t>
      </w:r>
      <w:r w:rsidRPr="00ED5BC3">
        <w:rPr>
          <w:rFonts w:ascii="Century" w:hAnsi="Century"/>
          <w:sz w:val="24"/>
          <w:szCs w:val="24"/>
        </w:rPr>
        <w:t>, No. 14-31103, 2014 U.S. App. LEXIS 25004, 2014 WL 10965184 (5th Cir. Dec. 16, 2014)).</w:t>
      </w:r>
    </w:p>
    <w:p w14:paraId="78C6175F" w14:textId="77777777" w:rsidR="001B70FE" w:rsidRDefault="00ED5BC3" w:rsidP="00B16B7C">
      <w:pPr>
        <w:pStyle w:val="SignatureBlock"/>
        <w:spacing w:line="480" w:lineRule="auto"/>
        <w:ind w:left="720" w:right="720" w:firstLine="720"/>
        <w:rPr>
          <w:rFonts w:ascii="Century" w:hAnsi="Century"/>
          <w:sz w:val="24"/>
          <w:szCs w:val="24"/>
        </w:rPr>
      </w:pPr>
      <w:r w:rsidRPr="00ED5BC3">
        <w:rPr>
          <w:rFonts w:ascii="Century" w:hAnsi="Century"/>
          <w:sz w:val="24"/>
          <w:szCs w:val="24"/>
        </w:rPr>
        <w:t xml:space="preserve">"To determine whether a jurisdiction-stripping statute violates the Suspension Clause, the [c]ourt applies </w:t>
      </w:r>
      <w:r w:rsidRPr="00ED5BC3">
        <w:rPr>
          <w:rFonts w:ascii="Century" w:hAnsi="Century"/>
          <w:b/>
          <w:bCs/>
          <w:sz w:val="24"/>
          <w:szCs w:val="24"/>
        </w:rPr>
        <w:t>the two-step analysis established by </w:t>
      </w:r>
      <w:r w:rsidRPr="00ED5BC3">
        <w:rPr>
          <w:rFonts w:ascii="Century" w:hAnsi="Century"/>
          <w:b/>
          <w:bCs/>
          <w:i/>
          <w:iCs/>
          <w:sz w:val="24"/>
          <w:szCs w:val="24"/>
        </w:rPr>
        <w:t>Boumediene v. Bush</w:t>
      </w:r>
      <w:r w:rsidRPr="00ED5BC3">
        <w:rPr>
          <w:rFonts w:ascii="Century" w:hAnsi="Century"/>
          <w:sz w:val="24"/>
          <w:szCs w:val="24"/>
        </w:rPr>
        <w:t>, 553 U.S. 723, 128 S. Ct. 2229, 171 L. Ed. 2d 41 (2008)." </w:t>
      </w:r>
      <w:r w:rsidRPr="00ED5BC3">
        <w:rPr>
          <w:rFonts w:ascii="Century" w:hAnsi="Century"/>
          <w:i/>
          <w:iCs/>
          <w:sz w:val="24"/>
          <w:szCs w:val="24"/>
        </w:rPr>
        <w:t>Benitez-Garay</w:t>
      </w:r>
      <w:r w:rsidRPr="00ED5BC3">
        <w:rPr>
          <w:rFonts w:ascii="Century" w:hAnsi="Century"/>
          <w:sz w:val="24"/>
          <w:szCs w:val="24"/>
        </w:rPr>
        <w:t xml:space="preserve">, 2019 U.S. Dist. LEXIS 21294, 2019 WL 542035, at *7. </w:t>
      </w:r>
    </w:p>
    <w:p w14:paraId="231F47D2" w14:textId="77777777" w:rsidR="00140C91" w:rsidRDefault="00ED5BC3" w:rsidP="00B16B7C">
      <w:pPr>
        <w:pStyle w:val="SignatureBlock"/>
        <w:spacing w:line="480" w:lineRule="auto"/>
        <w:ind w:left="720" w:right="720" w:firstLine="720"/>
        <w:rPr>
          <w:rFonts w:ascii="Century" w:hAnsi="Century"/>
          <w:sz w:val="24"/>
          <w:szCs w:val="24"/>
        </w:rPr>
      </w:pPr>
      <w:r w:rsidRPr="00ED5BC3">
        <w:rPr>
          <w:rFonts w:ascii="Century" w:hAnsi="Century"/>
          <w:sz w:val="24"/>
          <w:szCs w:val="24"/>
        </w:rPr>
        <w:t xml:space="preserve">At </w:t>
      </w:r>
      <w:r w:rsidRPr="00ED5BC3">
        <w:rPr>
          <w:rFonts w:ascii="Century" w:hAnsi="Century"/>
          <w:b/>
          <w:bCs/>
          <w:sz w:val="24"/>
          <w:szCs w:val="24"/>
        </w:rPr>
        <w:t>step one, the court must determine "whether a habeas petitioner is prohibited from invoking the Suspension Clause due to some attribute of the petitioner or to the circumstances surrounding his detention or removal." </w:t>
      </w:r>
      <w:r w:rsidRPr="00ED5BC3">
        <w:rPr>
          <w:rFonts w:ascii="Century" w:hAnsi="Century"/>
          <w:i/>
          <w:iCs/>
          <w:sz w:val="24"/>
          <w:szCs w:val="24"/>
        </w:rPr>
        <w:t>Id.</w:t>
      </w:r>
      <w:r w:rsidRPr="00ED5BC3">
        <w:rPr>
          <w:rFonts w:ascii="Century" w:hAnsi="Century"/>
          <w:sz w:val="24"/>
          <w:szCs w:val="24"/>
        </w:rPr>
        <w:t> (citing </w:t>
      </w:r>
      <w:r w:rsidRPr="00ED5BC3">
        <w:rPr>
          <w:rFonts w:ascii="Century" w:hAnsi="Century"/>
          <w:i/>
          <w:iCs/>
          <w:sz w:val="24"/>
          <w:szCs w:val="24"/>
        </w:rPr>
        <w:t>Boumediene</w:t>
      </w:r>
      <w:r w:rsidRPr="00ED5BC3">
        <w:rPr>
          <w:rFonts w:ascii="Century" w:hAnsi="Century"/>
          <w:sz w:val="24"/>
          <w:szCs w:val="24"/>
        </w:rPr>
        <w:t xml:space="preserve">, 553 U.S. at 739). </w:t>
      </w:r>
    </w:p>
    <w:p w14:paraId="19B61C7F" w14:textId="3176D67D" w:rsidR="00ED5BC3" w:rsidRDefault="00ED5BC3" w:rsidP="00B16B7C">
      <w:pPr>
        <w:pStyle w:val="SignatureBlock"/>
        <w:spacing w:line="480" w:lineRule="auto"/>
        <w:ind w:left="720" w:right="720" w:firstLine="720"/>
        <w:rPr>
          <w:rFonts w:ascii="Century" w:hAnsi="Century"/>
          <w:sz w:val="24"/>
          <w:szCs w:val="24"/>
        </w:rPr>
      </w:pPr>
      <w:r w:rsidRPr="00ED5BC3">
        <w:rPr>
          <w:rFonts w:ascii="Century" w:hAnsi="Century"/>
          <w:sz w:val="24"/>
          <w:szCs w:val="24"/>
        </w:rPr>
        <w:t xml:space="preserve">If the petitioner satisfies step-one, then the court move to </w:t>
      </w:r>
      <w:r w:rsidRPr="00ED5BC3">
        <w:rPr>
          <w:rFonts w:ascii="Century" w:hAnsi="Century"/>
          <w:b/>
          <w:bCs/>
          <w:sz w:val="24"/>
          <w:szCs w:val="24"/>
        </w:rPr>
        <w:t xml:space="preserve">step-two to "consider whether the substitute for habeas corpus provided by </w:t>
      </w:r>
      <w:r w:rsidRPr="00ED5BC3">
        <w:rPr>
          <w:rFonts w:ascii="Century" w:hAnsi="Century"/>
          <w:b/>
          <w:bCs/>
          <w:sz w:val="24"/>
          <w:szCs w:val="24"/>
        </w:rPr>
        <w:lastRenderedPageBreak/>
        <w:t>the jurisdiction-stripping statute is adequate to test the legality of the petitioner's removal."</w:t>
      </w:r>
      <w:r w:rsidRPr="00ED5BC3">
        <w:rPr>
          <w:rFonts w:ascii="Century" w:hAnsi="Century"/>
          <w:sz w:val="24"/>
          <w:szCs w:val="24"/>
        </w:rPr>
        <w:t> </w:t>
      </w:r>
      <w:r w:rsidRPr="00ED5BC3">
        <w:rPr>
          <w:rFonts w:ascii="Century" w:hAnsi="Century"/>
          <w:i/>
          <w:iCs/>
          <w:sz w:val="24"/>
          <w:szCs w:val="24"/>
        </w:rPr>
        <w:t>Id.</w:t>
      </w:r>
      <w:r w:rsidRPr="00ED5BC3">
        <w:rPr>
          <w:rFonts w:ascii="Century" w:hAnsi="Century"/>
          <w:sz w:val="24"/>
          <w:szCs w:val="24"/>
        </w:rPr>
        <w:t> (citing </w:t>
      </w:r>
      <w:r w:rsidRPr="00ED5BC3">
        <w:rPr>
          <w:rFonts w:ascii="Century" w:hAnsi="Century"/>
          <w:i/>
          <w:iCs/>
          <w:sz w:val="24"/>
          <w:szCs w:val="24"/>
        </w:rPr>
        <w:t>Castro v. United States Department of Homeland Security</w:t>
      </w:r>
      <w:r w:rsidRPr="00ED5BC3">
        <w:rPr>
          <w:rFonts w:ascii="Century" w:hAnsi="Century"/>
          <w:sz w:val="24"/>
          <w:szCs w:val="24"/>
        </w:rPr>
        <w:t>, 835 F.3d 422, 438 (3d Cir. 2016), </w:t>
      </w:r>
      <w:r w:rsidRPr="00ED5BC3">
        <w:rPr>
          <w:rFonts w:ascii="Century" w:hAnsi="Century"/>
          <w:i/>
          <w:iCs/>
          <w:sz w:val="24"/>
          <w:szCs w:val="24"/>
        </w:rPr>
        <w:t>cert. denied</w:t>
      </w:r>
      <w:r w:rsidRPr="00ED5BC3">
        <w:rPr>
          <w:rFonts w:ascii="Century" w:hAnsi="Century"/>
          <w:sz w:val="24"/>
          <w:szCs w:val="24"/>
        </w:rPr>
        <w:t>, 137 S. Ct. 1581, 197 L. Ed. 2d 705 (2017)).</w:t>
      </w:r>
    </w:p>
    <w:p w14:paraId="7B0C9144" w14:textId="77777777" w:rsidR="00140C91" w:rsidRDefault="001B70FE" w:rsidP="00B16B7C">
      <w:pPr>
        <w:pStyle w:val="SignatureBlock"/>
        <w:spacing w:line="480" w:lineRule="auto"/>
        <w:ind w:left="720" w:right="720" w:firstLine="720"/>
        <w:rPr>
          <w:rFonts w:ascii="Century" w:hAnsi="Century"/>
          <w:sz w:val="24"/>
          <w:szCs w:val="24"/>
        </w:rPr>
      </w:pPr>
      <w:r>
        <w:rPr>
          <w:rFonts w:ascii="Century" w:hAnsi="Century"/>
          <w:sz w:val="24"/>
          <w:szCs w:val="24"/>
        </w:rPr>
        <w:t xml:space="preserve">We </w:t>
      </w:r>
      <w:r w:rsidR="00282723">
        <w:rPr>
          <w:rFonts w:ascii="Century" w:hAnsi="Century"/>
          <w:sz w:val="24"/>
          <w:szCs w:val="24"/>
        </w:rPr>
        <w:t>can find no</w:t>
      </w:r>
      <w:r w:rsidRPr="00BB4BC2">
        <w:rPr>
          <w:rFonts w:ascii="Century" w:hAnsi="Century"/>
          <w:sz w:val="24"/>
          <w:szCs w:val="24"/>
        </w:rPr>
        <w:t xml:space="preserve"> case in which the Fifth Circuit </w:t>
      </w:r>
      <w:r w:rsidR="00943A71">
        <w:rPr>
          <w:rFonts w:ascii="Century" w:hAnsi="Century"/>
          <w:sz w:val="24"/>
          <w:szCs w:val="24"/>
        </w:rPr>
        <w:t xml:space="preserve">has </w:t>
      </w:r>
      <w:r w:rsidRPr="00BB4BC2">
        <w:rPr>
          <w:rFonts w:ascii="Century" w:hAnsi="Century"/>
          <w:sz w:val="24"/>
          <w:szCs w:val="24"/>
        </w:rPr>
        <w:t>considered whether § 1252(e)(2)</w:t>
      </w:r>
      <w:r w:rsidR="00140C91">
        <w:rPr>
          <w:rFonts w:ascii="Century" w:hAnsi="Century"/>
          <w:sz w:val="24"/>
          <w:szCs w:val="24"/>
        </w:rPr>
        <w:t xml:space="preserve"> – as </w:t>
      </w:r>
      <w:r w:rsidRPr="00BB4BC2">
        <w:rPr>
          <w:rFonts w:ascii="Century" w:hAnsi="Century"/>
          <w:sz w:val="24"/>
          <w:szCs w:val="24"/>
        </w:rPr>
        <w:t>applied to an alien petitioner in expedited removal</w:t>
      </w:r>
      <w:r w:rsidR="00140C91">
        <w:rPr>
          <w:rFonts w:ascii="Century" w:hAnsi="Century"/>
          <w:sz w:val="24"/>
          <w:szCs w:val="24"/>
        </w:rPr>
        <w:t xml:space="preserve"> – violates </w:t>
      </w:r>
      <w:r w:rsidRPr="00BB4BC2">
        <w:rPr>
          <w:rFonts w:ascii="Century" w:hAnsi="Century"/>
          <w:sz w:val="24"/>
          <w:szCs w:val="24"/>
        </w:rPr>
        <w:t xml:space="preserve">the Suspension Clause. </w:t>
      </w:r>
    </w:p>
    <w:p w14:paraId="3A611A43" w14:textId="032B31A6" w:rsidR="001B70FE" w:rsidRPr="00ED5BC3" w:rsidRDefault="001B70FE" w:rsidP="00B16B7C">
      <w:pPr>
        <w:pStyle w:val="SignatureBlock"/>
        <w:spacing w:line="480" w:lineRule="auto"/>
        <w:ind w:left="720" w:right="720" w:firstLine="720"/>
        <w:rPr>
          <w:rFonts w:ascii="Century" w:hAnsi="Century"/>
          <w:sz w:val="24"/>
          <w:szCs w:val="24"/>
        </w:rPr>
      </w:pPr>
      <w:r w:rsidRPr="00BB4BC2">
        <w:rPr>
          <w:rFonts w:ascii="Century" w:hAnsi="Century"/>
          <w:sz w:val="24"/>
          <w:szCs w:val="24"/>
        </w:rPr>
        <w:t xml:space="preserve">It appears that only two federal courts of appeals have considered </w:t>
      </w:r>
      <w:r>
        <w:rPr>
          <w:rFonts w:ascii="Century" w:hAnsi="Century"/>
          <w:sz w:val="24"/>
          <w:szCs w:val="24"/>
        </w:rPr>
        <w:t>this</w:t>
      </w:r>
      <w:r w:rsidRPr="00BB4BC2">
        <w:rPr>
          <w:rFonts w:ascii="Century" w:hAnsi="Century"/>
          <w:sz w:val="24"/>
          <w:szCs w:val="24"/>
        </w:rPr>
        <w:t xml:space="preserve"> question: the Third Circuit and the Ninth Circuit. </w:t>
      </w:r>
      <w:r w:rsidRPr="00BB4BC2">
        <w:rPr>
          <w:rFonts w:ascii="Century" w:hAnsi="Century"/>
          <w:i/>
          <w:iCs/>
          <w:sz w:val="24"/>
          <w:szCs w:val="24"/>
        </w:rPr>
        <w:t>See</w:t>
      </w:r>
      <w:r w:rsidRPr="00BB4BC2">
        <w:rPr>
          <w:rFonts w:ascii="Century" w:hAnsi="Century"/>
          <w:sz w:val="24"/>
          <w:szCs w:val="24"/>
        </w:rPr>
        <w:t> </w:t>
      </w:r>
      <w:r w:rsidRPr="00BB4BC2">
        <w:rPr>
          <w:rFonts w:ascii="Century" w:hAnsi="Century"/>
          <w:i/>
          <w:iCs/>
          <w:sz w:val="24"/>
          <w:szCs w:val="24"/>
        </w:rPr>
        <w:t>Thuraissigiam v. United States Department of Homeland Security</w:t>
      </w:r>
      <w:r w:rsidRPr="00BB4BC2">
        <w:rPr>
          <w:rFonts w:ascii="Century" w:hAnsi="Century"/>
          <w:sz w:val="24"/>
          <w:szCs w:val="24"/>
        </w:rPr>
        <w:t>, 917 F.3d 1097, 1105 (9th Cir. 2019)</w:t>
      </w:r>
      <w:r w:rsidR="00140C91">
        <w:rPr>
          <w:rFonts w:ascii="Century" w:hAnsi="Century"/>
          <w:sz w:val="24"/>
          <w:szCs w:val="24"/>
        </w:rPr>
        <w:t xml:space="preserve">; </w:t>
      </w:r>
      <w:r w:rsidR="00140C91" w:rsidRPr="00140C91">
        <w:rPr>
          <w:rFonts w:ascii="Century" w:hAnsi="Century"/>
          <w:i/>
          <w:iCs/>
          <w:sz w:val="24"/>
          <w:szCs w:val="24"/>
        </w:rPr>
        <w:t>see also</w:t>
      </w:r>
      <w:r w:rsidR="00140C91">
        <w:rPr>
          <w:rFonts w:ascii="Century" w:hAnsi="Century"/>
          <w:sz w:val="24"/>
          <w:szCs w:val="24"/>
        </w:rPr>
        <w:t xml:space="preserve"> </w:t>
      </w:r>
      <w:r w:rsidR="00140C91" w:rsidRPr="00BB4BC2">
        <w:rPr>
          <w:rFonts w:ascii="Century" w:hAnsi="Century"/>
          <w:i/>
          <w:iCs/>
          <w:sz w:val="24"/>
          <w:szCs w:val="24"/>
        </w:rPr>
        <w:t xml:space="preserve"> </w:t>
      </w:r>
      <w:r w:rsidRPr="00BB4BC2">
        <w:rPr>
          <w:rFonts w:ascii="Century" w:hAnsi="Century"/>
          <w:i/>
          <w:iCs/>
          <w:sz w:val="24"/>
          <w:szCs w:val="24"/>
        </w:rPr>
        <w:t>Castro v. U.S. Department of Homeland Security</w:t>
      </w:r>
      <w:r w:rsidRPr="00BB4BC2">
        <w:rPr>
          <w:rFonts w:ascii="Century" w:hAnsi="Century"/>
          <w:sz w:val="24"/>
          <w:szCs w:val="24"/>
        </w:rPr>
        <w:t>, 835 F.3d 422 (3d Cir. 2016), </w:t>
      </w:r>
      <w:r w:rsidRPr="00BB4BC2">
        <w:rPr>
          <w:rFonts w:ascii="Century" w:hAnsi="Century"/>
          <w:i/>
          <w:iCs/>
          <w:sz w:val="24"/>
          <w:szCs w:val="24"/>
        </w:rPr>
        <w:t>cert. denied</w:t>
      </w:r>
      <w:r w:rsidRPr="00BB4BC2">
        <w:rPr>
          <w:rFonts w:ascii="Century" w:hAnsi="Century"/>
          <w:sz w:val="24"/>
          <w:szCs w:val="24"/>
        </w:rPr>
        <w:t>, </w:t>
      </w:r>
      <w:r w:rsidRPr="00BB4BC2">
        <w:rPr>
          <w:rFonts w:ascii="Century" w:hAnsi="Century"/>
          <w:sz w:val="24"/>
          <w:szCs w:val="24"/>
          <w:u w:val="single"/>
        </w:rPr>
        <w:t>   </w:t>
      </w:r>
      <w:r w:rsidRPr="00BB4BC2">
        <w:rPr>
          <w:rFonts w:ascii="Century" w:hAnsi="Century"/>
          <w:sz w:val="24"/>
          <w:szCs w:val="24"/>
        </w:rPr>
        <w:t> U.S. </w:t>
      </w:r>
      <w:r w:rsidRPr="00BB4BC2">
        <w:rPr>
          <w:rFonts w:ascii="Century" w:hAnsi="Century"/>
          <w:sz w:val="24"/>
          <w:szCs w:val="24"/>
          <w:u w:val="single"/>
        </w:rPr>
        <w:t>   </w:t>
      </w:r>
      <w:r w:rsidRPr="00BB4BC2">
        <w:rPr>
          <w:rFonts w:ascii="Century" w:hAnsi="Century"/>
          <w:sz w:val="24"/>
          <w:szCs w:val="24"/>
        </w:rPr>
        <w:t>, 137 S.Ct. 1581, 197 L. Ed. 2d 705 (2017)</w:t>
      </w:r>
    </w:p>
    <w:p w14:paraId="1E5EF159" w14:textId="7B0A8161" w:rsidR="00282723" w:rsidRDefault="00282723" w:rsidP="00B16B7C">
      <w:pPr>
        <w:pStyle w:val="SignatureBlock"/>
        <w:spacing w:line="480" w:lineRule="auto"/>
        <w:ind w:left="720" w:right="720" w:firstLine="720"/>
        <w:rPr>
          <w:rFonts w:ascii="Century" w:hAnsi="Century"/>
          <w:sz w:val="24"/>
          <w:szCs w:val="24"/>
        </w:rPr>
      </w:pPr>
      <w:r w:rsidRPr="00282723">
        <w:rPr>
          <w:rFonts w:ascii="Century" w:hAnsi="Century"/>
          <w:sz w:val="24"/>
          <w:szCs w:val="24"/>
        </w:rPr>
        <w:t>In </w:t>
      </w:r>
      <w:r w:rsidRPr="00282723">
        <w:rPr>
          <w:rFonts w:ascii="Century" w:hAnsi="Century"/>
          <w:i/>
          <w:iCs/>
          <w:sz w:val="24"/>
          <w:szCs w:val="24"/>
        </w:rPr>
        <w:t>Thuraissigiam</w:t>
      </w:r>
      <w:r w:rsidRPr="00282723">
        <w:rPr>
          <w:rFonts w:ascii="Century" w:hAnsi="Century"/>
          <w:sz w:val="24"/>
          <w:szCs w:val="24"/>
        </w:rPr>
        <w:t xml:space="preserve">, the Ninth Circuit held that </w:t>
      </w:r>
      <w:r>
        <w:rPr>
          <w:rFonts w:ascii="Century" w:hAnsi="Century"/>
          <w:sz w:val="24"/>
          <w:szCs w:val="24"/>
        </w:rPr>
        <w:t>a petitioner identically-situated to Mr. Pal</w:t>
      </w:r>
      <w:r w:rsidRPr="00282723">
        <w:rPr>
          <w:rFonts w:ascii="Century" w:hAnsi="Century"/>
          <w:sz w:val="24"/>
          <w:szCs w:val="24"/>
        </w:rPr>
        <w:t xml:space="preserve"> satisfied step one of</w:t>
      </w:r>
      <w:r>
        <w:rPr>
          <w:rFonts w:ascii="Century" w:hAnsi="Century"/>
          <w:sz w:val="24"/>
          <w:szCs w:val="24"/>
        </w:rPr>
        <w:t xml:space="preserve"> </w:t>
      </w:r>
      <w:r w:rsidRPr="00282723">
        <w:rPr>
          <w:rFonts w:ascii="Century" w:hAnsi="Century"/>
          <w:sz w:val="24"/>
          <w:szCs w:val="24"/>
        </w:rPr>
        <w:t>the </w:t>
      </w:r>
      <w:r w:rsidRPr="00282723">
        <w:rPr>
          <w:rFonts w:ascii="Century" w:hAnsi="Century"/>
          <w:i/>
          <w:iCs/>
          <w:sz w:val="24"/>
          <w:szCs w:val="24"/>
        </w:rPr>
        <w:t>Boumediene</w:t>
      </w:r>
      <w:r w:rsidRPr="00282723">
        <w:rPr>
          <w:rFonts w:ascii="Century" w:hAnsi="Century"/>
          <w:sz w:val="24"/>
          <w:szCs w:val="24"/>
        </w:rPr>
        <w:t> analysis. See </w:t>
      </w:r>
      <w:r w:rsidRPr="00282723">
        <w:rPr>
          <w:rFonts w:ascii="Century" w:hAnsi="Century"/>
          <w:i/>
          <w:iCs/>
          <w:sz w:val="24"/>
          <w:szCs w:val="24"/>
        </w:rPr>
        <w:t>Thuraissigiam</w:t>
      </w:r>
      <w:r w:rsidRPr="00282723">
        <w:rPr>
          <w:rFonts w:ascii="Century" w:hAnsi="Century"/>
          <w:sz w:val="24"/>
          <w:szCs w:val="24"/>
        </w:rPr>
        <w:t>, 917 F.3d at 1115 (concluding that non-citizen petitioner in expedited removal proceedings could invoke the Suspension Clause based on line of cases in which "the [Supreme] Court permitted even arriving noncitizens to invoke habeas review"); cf. </w:t>
      </w:r>
      <w:r w:rsidRPr="00282723">
        <w:rPr>
          <w:rFonts w:ascii="Century" w:hAnsi="Century"/>
          <w:i/>
          <w:iCs/>
          <w:sz w:val="24"/>
          <w:szCs w:val="24"/>
        </w:rPr>
        <w:t>Castro</w:t>
      </w:r>
      <w:r w:rsidRPr="00282723">
        <w:rPr>
          <w:rFonts w:ascii="Century" w:hAnsi="Century"/>
          <w:sz w:val="24"/>
          <w:szCs w:val="24"/>
        </w:rPr>
        <w:t>, 835 F.3d at 445 (quoting </w:t>
      </w:r>
      <w:r w:rsidRPr="00282723">
        <w:rPr>
          <w:rFonts w:ascii="Century" w:hAnsi="Century"/>
          <w:i/>
          <w:iCs/>
          <w:sz w:val="24"/>
          <w:szCs w:val="24"/>
        </w:rPr>
        <w:t>Landon v. Plasencia</w:t>
      </w:r>
      <w:r w:rsidRPr="00282723">
        <w:rPr>
          <w:rFonts w:ascii="Century" w:hAnsi="Century"/>
          <w:sz w:val="24"/>
          <w:szCs w:val="24"/>
        </w:rPr>
        <w:t>, 459 U.S. 21, 32, 103 S. Ct. 321, 74 L. Ed. 2d 21 (1982)).</w:t>
      </w:r>
    </w:p>
    <w:p w14:paraId="3CDC3862" w14:textId="43EB130D" w:rsidR="00943A71" w:rsidRPr="00943A71" w:rsidRDefault="00943A71" w:rsidP="00B16B7C">
      <w:pPr>
        <w:pStyle w:val="SignatureBlock"/>
        <w:spacing w:line="480" w:lineRule="auto"/>
        <w:ind w:left="720" w:right="720" w:firstLine="720"/>
        <w:rPr>
          <w:rFonts w:ascii="Century" w:hAnsi="Century"/>
          <w:sz w:val="24"/>
          <w:szCs w:val="24"/>
        </w:rPr>
      </w:pPr>
      <w:r w:rsidRPr="00943A71">
        <w:rPr>
          <w:rFonts w:ascii="Century" w:hAnsi="Century"/>
          <w:i/>
          <w:iCs/>
          <w:sz w:val="24"/>
          <w:szCs w:val="24"/>
        </w:rPr>
        <w:lastRenderedPageBreak/>
        <w:t>Thuraissigiam</w:t>
      </w:r>
      <w:r w:rsidRPr="00943A71">
        <w:rPr>
          <w:rFonts w:ascii="Century" w:hAnsi="Century"/>
          <w:sz w:val="24"/>
          <w:szCs w:val="24"/>
        </w:rPr>
        <w:t xml:space="preserve"> </w:t>
      </w:r>
      <w:r>
        <w:rPr>
          <w:rFonts w:ascii="Century" w:hAnsi="Century"/>
          <w:sz w:val="24"/>
          <w:szCs w:val="24"/>
        </w:rPr>
        <w:t>reasons</w:t>
      </w:r>
      <w:r w:rsidRPr="00943A71">
        <w:rPr>
          <w:rFonts w:ascii="Century" w:hAnsi="Century"/>
          <w:sz w:val="24"/>
          <w:szCs w:val="24"/>
        </w:rPr>
        <w:t xml:space="preserve"> that the Suspension Clause in Article 1 of the U.S. Constitution requires that Mr. </w:t>
      </w:r>
      <w:r>
        <w:rPr>
          <w:rFonts w:ascii="Century" w:hAnsi="Century"/>
          <w:sz w:val="24"/>
          <w:szCs w:val="24"/>
        </w:rPr>
        <w:t>Pal</w:t>
      </w:r>
      <w:r w:rsidRPr="00943A71">
        <w:rPr>
          <w:rFonts w:ascii="Century" w:hAnsi="Century"/>
          <w:sz w:val="24"/>
          <w:szCs w:val="24"/>
        </w:rPr>
        <w:t xml:space="preserve"> have a “meaningful opportunity to demonstrate that he is being held pursuant to ‘the erroneous application or interpretation’ of relevant law.” </w:t>
      </w:r>
      <w:r w:rsidRPr="00943A71">
        <w:rPr>
          <w:rFonts w:ascii="Century" w:hAnsi="Century"/>
          <w:i/>
          <w:iCs/>
          <w:sz w:val="24"/>
          <w:szCs w:val="24"/>
        </w:rPr>
        <w:t>see</w:t>
      </w:r>
      <w:r>
        <w:rPr>
          <w:rFonts w:ascii="Century" w:hAnsi="Century"/>
          <w:sz w:val="24"/>
          <w:szCs w:val="24"/>
        </w:rPr>
        <w:t xml:space="preserve"> </w:t>
      </w:r>
      <w:r w:rsidRPr="00943A71">
        <w:rPr>
          <w:rFonts w:ascii="Century" w:hAnsi="Century"/>
          <w:i/>
          <w:iCs/>
          <w:sz w:val="24"/>
          <w:szCs w:val="24"/>
        </w:rPr>
        <w:t>Boumediene v. Bush</w:t>
      </w:r>
      <w:r w:rsidRPr="00943A71">
        <w:rPr>
          <w:rFonts w:ascii="Century" w:hAnsi="Century"/>
          <w:sz w:val="24"/>
          <w:szCs w:val="24"/>
        </w:rPr>
        <w:t xml:space="preserve">, 553 U.S. 723, 779, 128 S.Ct. 2229, 171 L.Ed.2d 41 (2008) (quoting </w:t>
      </w:r>
      <w:r w:rsidRPr="00943A71">
        <w:rPr>
          <w:rFonts w:ascii="Century" w:hAnsi="Century"/>
          <w:i/>
          <w:iCs/>
          <w:sz w:val="24"/>
          <w:szCs w:val="24"/>
        </w:rPr>
        <w:t>INS v. St. Cyr</w:t>
      </w:r>
      <w:r w:rsidRPr="00943A71">
        <w:rPr>
          <w:rFonts w:ascii="Century" w:hAnsi="Century"/>
          <w:sz w:val="24"/>
          <w:szCs w:val="24"/>
        </w:rPr>
        <w:t xml:space="preserve">, 533 U.S. 289, 302, 121 S.Ct. 2271, 150 L.Ed.2d 347 (2001) ). </w:t>
      </w:r>
    </w:p>
    <w:p w14:paraId="676BCABC" w14:textId="1215FCA0" w:rsidR="00943A71" w:rsidRPr="00943A71" w:rsidRDefault="00943A71" w:rsidP="00B16B7C">
      <w:pPr>
        <w:pStyle w:val="SignatureBlock"/>
        <w:spacing w:line="480" w:lineRule="auto"/>
        <w:ind w:left="720" w:right="720" w:firstLine="720"/>
        <w:rPr>
          <w:rFonts w:ascii="Century" w:hAnsi="Century"/>
          <w:sz w:val="24"/>
          <w:szCs w:val="24"/>
        </w:rPr>
      </w:pPr>
      <w:r w:rsidRPr="00943A71">
        <w:rPr>
          <w:rFonts w:ascii="Century" w:hAnsi="Century"/>
          <w:sz w:val="24"/>
          <w:szCs w:val="24"/>
        </w:rPr>
        <w:t>In</w:t>
      </w:r>
      <w:r>
        <w:rPr>
          <w:rFonts w:ascii="Century" w:hAnsi="Century"/>
          <w:sz w:val="24"/>
          <w:szCs w:val="24"/>
        </w:rPr>
        <w:t xml:space="preserve"> the </w:t>
      </w:r>
      <w:r w:rsidRPr="00943A71">
        <w:rPr>
          <w:rFonts w:ascii="Century" w:hAnsi="Century"/>
          <w:i/>
          <w:iCs/>
          <w:sz w:val="24"/>
          <w:szCs w:val="24"/>
        </w:rPr>
        <w:t>Boumediene</w:t>
      </w:r>
      <w:r w:rsidRPr="00943A71">
        <w:rPr>
          <w:rFonts w:ascii="Century" w:hAnsi="Century"/>
          <w:sz w:val="24"/>
          <w:szCs w:val="24"/>
        </w:rPr>
        <w:t xml:space="preserve"> </w:t>
      </w:r>
      <w:r>
        <w:rPr>
          <w:rFonts w:ascii="Century" w:hAnsi="Century"/>
          <w:sz w:val="24"/>
          <w:szCs w:val="24"/>
        </w:rPr>
        <w:t>ruling</w:t>
      </w:r>
      <w:r w:rsidRPr="00943A71">
        <w:rPr>
          <w:rFonts w:ascii="Century" w:hAnsi="Century"/>
          <w:sz w:val="24"/>
          <w:szCs w:val="24"/>
        </w:rPr>
        <w:t xml:space="preserve">, the Supreme Court gleaned from its precedents two “easily identified attributes of any constitutionally adequate” proceeding. </w:t>
      </w:r>
      <w:r w:rsidR="00140C91" w:rsidRPr="00140C91">
        <w:rPr>
          <w:rFonts w:ascii="Century" w:hAnsi="Century"/>
          <w:i/>
          <w:iCs/>
          <w:sz w:val="24"/>
          <w:szCs w:val="24"/>
        </w:rPr>
        <w:t>See</w:t>
      </w:r>
      <w:r w:rsidR="00140C91">
        <w:rPr>
          <w:rFonts w:ascii="Century" w:hAnsi="Century"/>
          <w:sz w:val="24"/>
          <w:szCs w:val="24"/>
        </w:rPr>
        <w:t xml:space="preserve"> </w:t>
      </w:r>
      <w:r w:rsidRPr="00943A71">
        <w:rPr>
          <w:rFonts w:ascii="Century" w:hAnsi="Century"/>
          <w:i/>
          <w:iCs/>
          <w:sz w:val="24"/>
          <w:szCs w:val="24"/>
        </w:rPr>
        <w:t>Boumediene,</w:t>
      </w:r>
      <w:r w:rsidRPr="00943A71">
        <w:rPr>
          <w:rFonts w:ascii="Century" w:hAnsi="Century"/>
          <w:sz w:val="24"/>
          <w:szCs w:val="24"/>
        </w:rPr>
        <w:t xml:space="preserve"> 553 U.S. at 779. </w:t>
      </w:r>
    </w:p>
    <w:p w14:paraId="2D4D84E9" w14:textId="328E401B" w:rsidR="00943A71" w:rsidRPr="00943A71" w:rsidRDefault="00943A71" w:rsidP="00B16B7C">
      <w:pPr>
        <w:pStyle w:val="SignatureBlock"/>
        <w:spacing w:line="480" w:lineRule="auto"/>
        <w:ind w:left="720" w:right="720" w:firstLine="720"/>
        <w:rPr>
          <w:rFonts w:ascii="Century" w:hAnsi="Century"/>
          <w:sz w:val="24"/>
          <w:szCs w:val="24"/>
        </w:rPr>
      </w:pPr>
      <w:r w:rsidRPr="00943A71">
        <w:rPr>
          <w:rFonts w:ascii="Century" w:hAnsi="Century"/>
          <w:b/>
          <w:bCs/>
          <w:sz w:val="24"/>
          <w:szCs w:val="24"/>
        </w:rPr>
        <w:t>First,</w:t>
      </w:r>
      <w:r w:rsidRPr="00943A71">
        <w:rPr>
          <w:rFonts w:ascii="Century" w:hAnsi="Century"/>
          <w:sz w:val="24"/>
          <w:szCs w:val="24"/>
        </w:rPr>
        <w:t xml:space="preserve"> </w:t>
      </w:r>
      <w:r w:rsidRPr="00943A71">
        <w:rPr>
          <w:rFonts w:ascii="Century" w:hAnsi="Century"/>
          <w:b/>
          <w:bCs/>
          <w:sz w:val="24"/>
          <w:szCs w:val="24"/>
        </w:rPr>
        <w:t>the law “entitles the prisoner to a meaningful opportunity to demonstrate that he is being held pursuant to ‘the erroneous application or interpretation’ of relevant law.”</w:t>
      </w:r>
      <w:r w:rsidRPr="00943A71">
        <w:rPr>
          <w:rFonts w:ascii="Century" w:hAnsi="Century"/>
          <w:sz w:val="24"/>
          <w:szCs w:val="24"/>
        </w:rPr>
        <w:t xml:space="preserve"> </w:t>
      </w:r>
      <w:r w:rsidRPr="00943A71">
        <w:rPr>
          <w:rFonts w:ascii="Century" w:hAnsi="Century"/>
          <w:i/>
          <w:iCs/>
          <w:sz w:val="24"/>
          <w:szCs w:val="24"/>
        </w:rPr>
        <w:t>Id.</w:t>
      </w:r>
      <w:r w:rsidRPr="00943A71">
        <w:rPr>
          <w:rFonts w:ascii="Century" w:hAnsi="Century"/>
          <w:sz w:val="24"/>
          <w:szCs w:val="24"/>
        </w:rPr>
        <w:t xml:space="preserve"> (quoting </w:t>
      </w:r>
      <w:r w:rsidRPr="00943A71">
        <w:rPr>
          <w:rFonts w:ascii="Century" w:hAnsi="Century"/>
          <w:i/>
          <w:iCs/>
          <w:sz w:val="24"/>
          <w:szCs w:val="24"/>
        </w:rPr>
        <w:t>INS v. St. Cyr</w:t>
      </w:r>
      <w:r w:rsidRPr="00943A71">
        <w:rPr>
          <w:rFonts w:ascii="Century" w:hAnsi="Century"/>
          <w:sz w:val="24"/>
          <w:szCs w:val="24"/>
        </w:rPr>
        <w:t>, 533 U.S. 289, 302</w:t>
      </w:r>
      <w:r w:rsidR="00140C91">
        <w:rPr>
          <w:rFonts w:ascii="Century" w:hAnsi="Century"/>
          <w:sz w:val="24"/>
          <w:szCs w:val="24"/>
        </w:rPr>
        <w:t xml:space="preserve"> </w:t>
      </w:r>
      <w:r w:rsidRPr="00943A71">
        <w:rPr>
          <w:rFonts w:ascii="Century" w:hAnsi="Century"/>
          <w:sz w:val="24"/>
          <w:szCs w:val="24"/>
        </w:rPr>
        <w:t xml:space="preserve">(2001)). </w:t>
      </w:r>
    </w:p>
    <w:p w14:paraId="11F0A6BB" w14:textId="181A7F54" w:rsidR="00943A71" w:rsidRPr="00943A71" w:rsidRDefault="00943A71" w:rsidP="00B16B7C">
      <w:pPr>
        <w:pStyle w:val="SignatureBlock"/>
        <w:spacing w:line="480" w:lineRule="auto"/>
        <w:ind w:left="720" w:right="720" w:firstLine="720"/>
        <w:rPr>
          <w:rFonts w:ascii="Century" w:hAnsi="Century"/>
          <w:sz w:val="24"/>
          <w:szCs w:val="24"/>
        </w:rPr>
      </w:pPr>
      <w:r w:rsidRPr="00943A71">
        <w:rPr>
          <w:rFonts w:ascii="Century" w:hAnsi="Century"/>
          <w:b/>
          <w:bCs/>
          <w:sz w:val="24"/>
          <w:szCs w:val="24"/>
        </w:rPr>
        <w:t>Second, the Supreme Court further emphasized that “the necessary scope of habeas review in part depends upon the rigor of any earlier proceedings.”</w:t>
      </w:r>
      <w:r w:rsidRPr="00943A71">
        <w:rPr>
          <w:rFonts w:ascii="Century" w:hAnsi="Century"/>
          <w:sz w:val="24"/>
          <w:szCs w:val="24"/>
        </w:rPr>
        <w:t xml:space="preserve"> </w:t>
      </w:r>
      <w:r w:rsidRPr="00943A71">
        <w:rPr>
          <w:rFonts w:ascii="Century" w:hAnsi="Century"/>
          <w:i/>
          <w:iCs/>
          <w:sz w:val="24"/>
          <w:szCs w:val="24"/>
        </w:rPr>
        <w:t>Id.</w:t>
      </w:r>
      <w:r w:rsidRPr="00943A71">
        <w:rPr>
          <w:rFonts w:ascii="Century" w:hAnsi="Century"/>
          <w:sz w:val="24"/>
          <w:szCs w:val="24"/>
        </w:rPr>
        <w:t xml:space="preserve"> at 781,</w:t>
      </w:r>
      <w:r w:rsidR="00140C91">
        <w:rPr>
          <w:rFonts w:ascii="Century" w:hAnsi="Century"/>
          <w:sz w:val="24"/>
          <w:szCs w:val="24"/>
        </w:rPr>
        <w:t xml:space="preserve"> </w:t>
      </w:r>
      <w:r w:rsidRPr="00943A71">
        <w:rPr>
          <w:rFonts w:ascii="Century" w:hAnsi="Century"/>
          <w:sz w:val="24"/>
          <w:szCs w:val="24"/>
        </w:rPr>
        <w:t>786 (noting that “habeas corpus review may be more circumscribed if the underlying detention proceedings are more thorough”)</w:t>
      </w:r>
    </w:p>
    <w:p w14:paraId="5838FD5E" w14:textId="5DDB1BC1" w:rsidR="00943A71" w:rsidRPr="00943A71" w:rsidRDefault="00943A71" w:rsidP="00B16B7C">
      <w:pPr>
        <w:pStyle w:val="SignatureBlock"/>
        <w:spacing w:line="480" w:lineRule="auto"/>
        <w:ind w:left="720" w:right="720" w:firstLine="720"/>
        <w:rPr>
          <w:rFonts w:ascii="Century" w:hAnsi="Century"/>
          <w:sz w:val="24"/>
          <w:szCs w:val="24"/>
        </w:rPr>
      </w:pPr>
      <w:r w:rsidRPr="00943A71">
        <w:rPr>
          <w:rFonts w:ascii="Century" w:hAnsi="Century"/>
          <w:sz w:val="24"/>
          <w:szCs w:val="24"/>
        </w:rPr>
        <w:t xml:space="preserve">With regard to </w:t>
      </w:r>
      <w:r w:rsidRPr="00943A71">
        <w:rPr>
          <w:rFonts w:ascii="Century" w:hAnsi="Century"/>
          <w:i/>
          <w:iCs/>
          <w:sz w:val="24"/>
          <w:szCs w:val="24"/>
        </w:rPr>
        <w:t>Boumediene</w:t>
      </w:r>
      <w:r w:rsidRPr="00943A71">
        <w:rPr>
          <w:rFonts w:ascii="Century" w:hAnsi="Century"/>
          <w:sz w:val="24"/>
          <w:szCs w:val="24"/>
        </w:rPr>
        <w:t xml:space="preserve"> ‘s first prong, here the record </w:t>
      </w:r>
      <w:r w:rsidRPr="00943A71">
        <w:rPr>
          <w:rFonts w:ascii="Century" w:hAnsi="Century"/>
          <w:sz w:val="24"/>
          <w:szCs w:val="24"/>
        </w:rPr>
        <w:t>will show</w:t>
      </w:r>
      <w:r w:rsidRPr="00943A71">
        <w:rPr>
          <w:rFonts w:ascii="Century" w:hAnsi="Century"/>
          <w:sz w:val="24"/>
          <w:szCs w:val="24"/>
        </w:rPr>
        <w:t xml:space="preserve"> that the immigration agencies have erroneously applied – and substantially ignored – crucial facts as well as both the letter and </w:t>
      </w:r>
      <w:r w:rsidRPr="00943A71">
        <w:rPr>
          <w:rFonts w:ascii="Century" w:hAnsi="Century"/>
          <w:sz w:val="24"/>
          <w:szCs w:val="24"/>
        </w:rPr>
        <w:lastRenderedPageBreak/>
        <w:t>spirit of due process requirements</w:t>
      </w:r>
      <w:r w:rsidR="00140C91">
        <w:rPr>
          <w:rFonts w:ascii="Century" w:hAnsi="Century"/>
          <w:sz w:val="24"/>
          <w:szCs w:val="24"/>
        </w:rPr>
        <w:t>,</w:t>
      </w:r>
      <w:r w:rsidRPr="00943A71">
        <w:rPr>
          <w:rFonts w:ascii="Century" w:hAnsi="Century"/>
          <w:sz w:val="24"/>
          <w:szCs w:val="24"/>
        </w:rPr>
        <w:t xml:space="preserve"> under </w:t>
      </w:r>
      <w:r w:rsidRPr="00943A71">
        <w:rPr>
          <w:rFonts w:ascii="Century" w:hAnsi="Century"/>
          <w:sz w:val="24"/>
          <w:szCs w:val="24"/>
        </w:rPr>
        <w:t>both the agencies’ own regulations</w:t>
      </w:r>
      <w:r w:rsidR="00140C91">
        <w:rPr>
          <w:rFonts w:ascii="Century" w:hAnsi="Century"/>
          <w:sz w:val="24"/>
          <w:szCs w:val="24"/>
        </w:rPr>
        <w:t xml:space="preserve"> in line with </w:t>
      </w:r>
      <w:r w:rsidRPr="00943A71">
        <w:rPr>
          <w:rFonts w:ascii="Century" w:hAnsi="Century"/>
          <w:sz w:val="24"/>
          <w:szCs w:val="24"/>
        </w:rPr>
        <w:t>statutory requirements</w:t>
      </w:r>
      <w:r w:rsidRPr="00943A71">
        <w:rPr>
          <w:rFonts w:ascii="Century" w:hAnsi="Century"/>
          <w:sz w:val="24"/>
          <w:szCs w:val="24"/>
        </w:rPr>
        <w:t>.</w:t>
      </w:r>
      <w:r w:rsidRPr="00943A71">
        <w:rPr>
          <w:rFonts w:ascii="Century" w:hAnsi="Century"/>
          <w:sz w:val="24"/>
          <w:szCs w:val="24"/>
        </w:rPr>
        <w:t xml:space="preserve"> See </w:t>
      </w:r>
      <w:r w:rsidRPr="00943A71">
        <w:rPr>
          <w:rFonts w:ascii="Century" w:hAnsi="Century"/>
          <w:sz w:val="24"/>
          <w:szCs w:val="24"/>
        </w:rPr>
        <w:t>8 C.F.R. § 208.30(d)(1)–(2)</w:t>
      </w:r>
    </w:p>
    <w:p w14:paraId="47567202" w14:textId="77777777" w:rsidR="00140C91" w:rsidRDefault="00943A71" w:rsidP="00B16B7C">
      <w:pPr>
        <w:tabs>
          <w:tab w:val="left" w:pos="720"/>
        </w:tabs>
        <w:spacing w:line="480" w:lineRule="auto"/>
        <w:ind w:left="720" w:right="720" w:firstLine="720"/>
        <w:rPr>
          <w:rFonts w:ascii="Century" w:hAnsi="Century"/>
          <w:sz w:val="24"/>
          <w:szCs w:val="24"/>
        </w:rPr>
      </w:pPr>
      <w:r w:rsidRPr="00943A71">
        <w:rPr>
          <w:rFonts w:ascii="Century" w:hAnsi="Century"/>
          <w:sz w:val="24"/>
          <w:szCs w:val="24"/>
        </w:rPr>
        <w:t xml:space="preserve">Regarding the second prong, the record </w:t>
      </w:r>
      <w:r>
        <w:rPr>
          <w:rFonts w:ascii="Century" w:hAnsi="Century"/>
          <w:sz w:val="24"/>
          <w:szCs w:val="24"/>
        </w:rPr>
        <w:t>will prove</w:t>
      </w:r>
      <w:r w:rsidRPr="00943A71">
        <w:rPr>
          <w:rFonts w:ascii="Century" w:hAnsi="Century"/>
          <w:sz w:val="24"/>
          <w:szCs w:val="24"/>
        </w:rPr>
        <w:t xml:space="preserve"> that there were </w:t>
      </w:r>
      <w:r>
        <w:rPr>
          <w:rFonts w:ascii="Century" w:hAnsi="Century"/>
          <w:sz w:val="24"/>
          <w:szCs w:val="24"/>
        </w:rPr>
        <w:t>no</w:t>
      </w:r>
      <w:r w:rsidRPr="00943A71">
        <w:rPr>
          <w:rFonts w:ascii="Century" w:hAnsi="Century"/>
          <w:sz w:val="24"/>
          <w:szCs w:val="24"/>
        </w:rPr>
        <w:t xml:space="preserve"> rigorous adversarial proceedings prior to the agencies’ negative credible fear determination.  And the record </w:t>
      </w:r>
      <w:r w:rsidRPr="00B16B7C">
        <w:rPr>
          <w:rFonts w:ascii="Century" w:hAnsi="Century"/>
          <w:sz w:val="24"/>
          <w:szCs w:val="24"/>
        </w:rPr>
        <w:t>will show</w:t>
      </w:r>
      <w:r w:rsidRPr="00943A71">
        <w:rPr>
          <w:rFonts w:ascii="Century" w:hAnsi="Century"/>
          <w:sz w:val="24"/>
          <w:szCs w:val="24"/>
        </w:rPr>
        <w:t xml:space="preserve"> that the </w:t>
      </w:r>
      <w:r w:rsidR="00B16B7C" w:rsidRPr="00B16B7C">
        <w:rPr>
          <w:rFonts w:ascii="Century" w:hAnsi="Century"/>
          <w:sz w:val="24"/>
          <w:szCs w:val="24"/>
        </w:rPr>
        <w:t>immigration judge’s</w:t>
      </w:r>
      <w:r w:rsidRPr="00943A71">
        <w:rPr>
          <w:rFonts w:ascii="Century" w:hAnsi="Century"/>
          <w:sz w:val="24"/>
          <w:szCs w:val="24"/>
        </w:rPr>
        <w:t xml:space="preserve"> required </w:t>
      </w:r>
      <w:r w:rsidRPr="00943A71">
        <w:rPr>
          <w:rFonts w:ascii="Century" w:hAnsi="Century"/>
          <w:i/>
          <w:iCs/>
          <w:sz w:val="24"/>
          <w:szCs w:val="24"/>
        </w:rPr>
        <w:t>de novo</w:t>
      </w:r>
      <w:r w:rsidRPr="00943A71">
        <w:rPr>
          <w:rFonts w:ascii="Century" w:hAnsi="Century"/>
          <w:sz w:val="24"/>
          <w:szCs w:val="24"/>
        </w:rPr>
        <w:t xml:space="preserve"> review of the matter was brief, and cursory at best. </w:t>
      </w:r>
    </w:p>
    <w:p w14:paraId="6AE42AD5" w14:textId="77777777" w:rsidR="00140C91" w:rsidRDefault="00B16B7C" w:rsidP="00B16B7C">
      <w:pPr>
        <w:tabs>
          <w:tab w:val="left" w:pos="720"/>
        </w:tabs>
        <w:spacing w:line="480" w:lineRule="auto"/>
        <w:ind w:left="720" w:right="720" w:firstLine="720"/>
        <w:rPr>
          <w:rFonts w:ascii="Century" w:hAnsi="Century"/>
          <w:sz w:val="24"/>
          <w:szCs w:val="24"/>
        </w:rPr>
      </w:pPr>
      <w:r w:rsidRPr="00B16B7C">
        <w:rPr>
          <w:rFonts w:ascii="Century" w:hAnsi="Century"/>
          <w:sz w:val="24"/>
          <w:szCs w:val="24"/>
        </w:rPr>
        <w:t>T</w:t>
      </w:r>
      <w:r w:rsidRPr="00B16B7C">
        <w:rPr>
          <w:rFonts w:ascii="Century" w:hAnsi="Century"/>
          <w:sz w:val="24"/>
          <w:szCs w:val="24"/>
        </w:rPr>
        <w:t>he Immigration Judge failed</w:t>
      </w:r>
      <w:r w:rsidRPr="00B16B7C">
        <w:rPr>
          <w:rFonts w:ascii="Century" w:hAnsi="Century"/>
          <w:sz w:val="24"/>
          <w:szCs w:val="24"/>
        </w:rPr>
        <w:t xml:space="preserve"> in the agency’s requirement</w:t>
      </w:r>
      <w:r w:rsidRPr="00B16B7C">
        <w:rPr>
          <w:rFonts w:ascii="Century" w:hAnsi="Century"/>
          <w:sz w:val="24"/>
          <w:szCs w:val="24"/>
        </w:rPr>
        <w:t xml:space="preserve"> to elicit all relevant and useful information bearing on whether the Mr. </w:t>
      </w:r>
      <w:r w:rsidRPr="00B16B7C">
        <w:rPr>
          <w:rFonts w:ascii="Century" w:hAnsi="Century"/>
          <w:sz w:val="24"/>
          <w:szCs w:val="24"/>
        </w:rPr>
        <w:t>Pal</w:t>
      </w:r>
      <w:r w:rsidRPr="00B16B7C">
        <w:rPr>
          <w:rFonts w:ascii="Century" w:hAnsi="Century"/>
          <w:sz w:val="24"/>
          <w:szCs w:val="24"/>
        </w:rPr>
        <w:t xml:space="preserve"> has a credible fear of persecution or torture</w:t>
      </w:r>
      <w:r w:rsidR="00140C91">
        <w:rPr>
          <w:rFonts w:ascii="Century" w:hAnsi="Century"/>
          <w:sz w:val="24"/>
          <w:szCs w:val="24"/>
        </w:rPr>
        <w:t>;</w:t>
      </w:r>
      <w:r w:rsidRPr="00B16B7C">
        <w:rPr>
          <w:rFonts w:ascii="Century" w:hAnsi="Century"/>
          <w:sz w:val="24"/>
          <w:szCs w:val="24"/>
        </w:rPr>
        <w:t xml:space="preserve"> in violation of 8 C.F.R. § 208.30(d).  </w:t>
      </w:r>
    </w:p>
    <w:p w14:paraId="4692CD3E" w14:textId="464BF433" w:rsidR="00B16B7C" w:rsidRPr="00B16B7C" w:rsidRDefault="00B16B7C" w:rsidP="00B16B7C">
      <w:pPr>
        <w:tabs>
          <w:tab w:val="left" w:pos="720"/>
        </w:tabs>
        <w:spacing w:line="480" w:lineRule="auto"/>
        <w:ind w:left="720" w:right="720" w:firstLine="720"/>
        <w:rPr>
          <w:rFonts w:ascii="Century" w:hAnsi="Century"/>
          <w:sz w:val="24"/>
          <w:szCs w:val="24"/>
        </w:rPr>
      </w:pPr>
      <w:r w:rsidRPr="00B16B7C">
        <w:rPr>
          <w:rFonts w:ascii="Century" w:hAnsi="Century"/>
          <w:sz w:val="24"/>
          <w:szCs w:val="24"/>
        </w:rPr>
        <w:t>Neither the asylum officer nor the immigration judge noted any consideration of relevant country conditions evidence in violation of 8 U.S.C. § 1225(b)(1)(B)(v) and 8 C.F.R. § 208.30(e)(2).</w:t>
      </w:r>
    </w:p>
    <w:p w14:paraId="0E81E5B7" w14:textId="1147CB08" w:rsidR="00B16B7C" w:rsidRPr="00B16B7C" w:rsidRDefault="00B30033" w:rsidP="00B16B7C">
      <w:pPr>
        <w:pStyle w:val="SignatureBlock"/>
        <w:spacing w:line="480" w:lineRule="auto"/>
        <w:ind w:left="720" w:right="720" w:firstLine="720"/>
        <w:rPr>
          <w:rFonts w:ascii="Century" w:hAnsi="Century"/>
          <w:sz w:val="24"/>
          <w:szCs w:val="24"/>
        </w:rPr>
      </w:pPr>
      <w:r>
        <w:rPr>
          <w:rFonts w:ascii="Century" w:hAnsi="Century"/>
          <w:sz w:val="24"/>
          <w:szCs w:val="24"/>
        </w:rPr>
        <w:t xml:space="preserve">Merely ordering the agencies to provide the administrative record – a record unavailable to Mr. Pal – will  show the Court that </w:t>
      </w:r>
      <w:r w:rsidR="00B16B7C" w:rsidRPr="00B16B7C">
        <w:rPr>
          <w:rFonts w:ascii="Century" w:hAnsi="Century"/>
          <w:sz w:val="24"/>
          <w:szCs w:val="24"/>
        </w:rPr>
        <w:t xml:space="preserve">Mr. </w:t>
      </w:r>
      <w:r w:rsidR="00140C91">
        <w:rPr>
          <w:rFonts w:ascii="Century" w:hAnsi="Century"/>
          <w:sz w:val="24"/>
          <w:szCs w:val="24"/>
        </w:rPr>
        <w:t xml:space="preserve">Pal </w:t>
      </w:r>
      <w:r w:rsidR="00B16B7C" w:rsidRPr="00B16B7C">
        <w:rPr>
          <w:rFonts w:ascii="Century" w:hAnsi="Century"/>
          <w:sz w:val="24"/>
          <w:szCs w:val="24"/>
        </w:rPr>
        <w:t xml:space="preserve">has been deprived of a neutral, fair procedure, and </w:t>
      </w:r>
      <w:r>
        <w:rPr>
          <w:rFonts w:ascii="Century" w:hAnsi="Century"/>
          <w:sz w:val="24"/>
          <w:szCs w:val="24"/>
        </w:rPr>
        <w:t xml:space="preserve">that </w:t>
      </w:r>
      <w:r w:rsidR="00B16B7C" w:rsidRPr="00B16B7C">
        <w:rPr>
          <w:rFonts w:ascii="Century" w:hAnsi="Century"/>
          <w:sz w:val="24"/>
          <w:szCs w:val="24"/>
        </w:rPr>
        <w:t>the immigration agencies have applied an incorrect legal standard in denying that his fear</w:t>
      </w:r>
      <w:r>
        <w:rPr>
          <w:rFonts w:ascii="Century" w:hAnsi="Century"/>
          <w:sz w:val="24"/>
          <w:szCs w:val="24"/>
        </w:rPr>
        <w:t xml:space="preserve"> of being returned to India</w:t>
      </w:r>
      <w:r w:rsidR="00B16B7C" w:rsidRPr="00B16B7C">
        <w:rPr>
          <w:rFonts w:ascii="Century" w:hAnsi="Century"/>
          <w:sz w:val="24"/>
          <w:szCs w:val="24"/>
        </w:rPr>
        <w:t xml:space="preserve"> is credible</w:t>
      </w:r>
      <w:r>
        <w:rPr>
          <w:rFonts w:ascii="Century" w:hAnsi="Century"/>
          <w:sz w:val="24"/>
          <w:szCs w:val="24"/>
        </w:rPr>
        <w:t xml:space="preserve"> – and in doing so, preventing him from an opportunity to prove that he qualifies for</w:t>
      </w:r>
      <w:r w:rsidR="00B16B7C" w:rsidRPr="00B16B7C">
        <w:rPr>
          <w:rFonts w:ascii="Century" w:hAnsi="Century"/>
          <w:sz w:val="24"/>
          <w:szCs w:val="24"/>
        </w:rPr>
        <w:t xml:space="preserve"> asylum.</w:t>
      </w:r>
    </w:p>
    <w:p w14:paraId="35F1DE67" w14:textId="77777777" w:rsidR="00B30033" w:rsidRDefault="00B30033" w:rsidP="00B30033">
      <w:pPr>
        <w:pStyle w:val="SignatureBlock"/>
        <w:ind w:left="936"/>
        <w:rPr>
          <w:rFonts w:ascii="Century" w:hAnsi="Century"/>
          <w:b/>
          <w:bCs/>
          <w:sz w:val="24"/>
          <w:szCs w:val="24"/>
        </w:rPr>
      </w:pPr>
    </w:p>
    <w:p w14:paraId="4E6C5FBF" w14:textId="0416D83E" w:rsidR="00B30033" w:rsidRDefault="00B30033" w:rsidP="00B30033">
      <w:pPr>
        <w:pStyle w:val="SignatureBlock"/>
        <w:spacing w:line="480" w:lineRule="auto"/>
        <w:ind w:left="720" w:right="720"/>
        <w:jc w:val="center"/>
        <w:rPr>
          <w:rFonts w:ascii="Century" w:hAnsi="Century"/>
          <w:b/>
          <w:bCs/>
          <w:sz w:val="24"/>
          <w:szCs w:val="24"/>
        </w:rPr>
      </w:pPr>
      <w:r w:rsidRPr="00B30033">
        <w:rPr>
          <w:rFonts w:ascii="Century" w:hAnsi="Century"/>
          <w:b/>
          <w:bCs/>
          <w:sz w:val="24"/>
          <w:szCs w:val="24"/>
        </w:rPr>
        <w:lastRenderedPageBreak/>
        <w:t>Conclusion / Prayer for Relief</w:t>
      </w:r>
    </w:p>
    <w:p w14:paraId="35E3ED64" w14:textId="77777777" w:rsidR="00B30033" w:rsidRPr="00B30033" w:rsidRDefault="00B30033" w:rsidP="00B30033">
      <w:pPr>
        <w:pStyle w:val="SignatureBlock"/>
        <w:ind w:left="936"/>
        <w:rPr>
          <w:rFonts w:ascii="Century" w:hAnsi="Century"/>
          <w:b/>
          <w:bCs/>
          <w:sz w:val="24"/>
          <w:szCs w:val="24"/>
        </w:rPr>
      </w:pPr>
    </w:p>
    <w:p w14:paraId="2EA2061E" w14:textId="77777777" w:rsidR="00B30033" w:rsidRPr="00B30033" w:rsidRDefault="00B30033" w:rsidP="00B30033">
      <w:pPr>
        <w:pStyle w:val="SignatureBlock"/>
        <w:spacing w:line="480" w:lineRule="auto"/>
        <w:ind w:left="720" w:right="720" w:firstLine="720"/>
        <w:rPr>
          <w:rFonts w:ascii="Century" w:hAnsi="Century"/>
          <w:sz w:val="24"/>
          <w:szCs w:val="24"/>
        </w:rPr>
      </w:pPr>
      <w:r w:rsidRPr="00B30033">
        <w:rPr>
          <w:rFonts w:ascii="Century" w:hAnsi="Century"/>
          <w:sz w:val="24"/>
          <w:szCs w:val="24"/>
        </w:rPr>
        <w:t xml:space="preserve">The record in full will indicate that that the asylum officer and the Immigration Judge failed to elicit all relevant and useful information bearing on whether the Mr. Pal has a credible fear of persecution or torture in violation of 8 C.F.R. § 208.30(d).  </w:t>
      </w:r>
    </w:p>
    <w:p w14:paraId="18D17DAD" w14:textId="77777777" w:rsidR="00B30033" w:rsidRPr="00B30033" w:rsidRDefault="00B30033" w:rsidP="00B30033">
      <w:pPr>
        <w:pStyle w:val="SignatureBlock"/>
        <w:spacing w:line="480" w:lineRule="auto"/>
        <w:ind w:left="720" w:right="720" w:firstLine="720"/>
        <w:rPr>
          <w:rFonts w:ascii="Century" w:hAnsi="Century"/>
          <w:sz w:val="24"/>
          <w:szCs w:val="24"/>
        </w:rPr>
      </w:pPr>
      <w:r w:rsidRPr="00B30033">
        <w:rPr>
          <w:rFonts w:ascii="Century" w:hAnsi="Century"/>
          <w:sz w:val="24"/>
          <w:szCs w:val="24"/>
        </w:rPr>
        <w:t>Mr. Pal’s claim is that  he has been deprived of a neutral, fair procedure, and that the immigration agencies have applied an incorrect legal standard in denying that his fear is credible, and not allowing him to apply for asylum.</w:t>
      </w:r>
    </w:p>
    <w:p w14:paraId="0C7F5E47" w14:textId="6B8FC2A6" w:rsidR="00B30033" w:rsidRDefault="00B30033" w:rsidP="00685796">
      <w:pPr>
        <w:pStyle w:val="SignatureBlock"/>
        <w:spacing w:line="480" w:lineRule="auto"/>
        <w:ind w:left="720" w:right="720" w:firstLine="720"/>
        <w:rPr>
          <w:rFonts w:ascii="Century" w:hAnsi="Century"/>
          <w:sz w:val="24"/>
          <w:szCs w:val="24"/>
        </w:rPr>
      </w:pPr>
      <w:r w:rsidRPr="00B30033">
        <w:rPr>
          <w:rFonts w:ascii="Century" w:hAnsi="Century"/>
          <w:sz w:val="24"/>
          <w:szCs w:val="24"/>
        </w:rPr>
        <w:t>We ask the Court to order that Petitioner be allowed to apply for asylum in the U.S. or in the alternative that he be granted a meaningful and fair credible fear process to which he is entitled under the immigration statute</w:t>
      </w:r>
      <w:r w:rsidR="00685796">
        <w:rPr>
          <w:rFonts w:ascii="Century" w:hAnsi="Century"/>
          <w:sz w:val="24"/>
          <w:szCs w:val="24"/>
        </w:rPr>
        <w:t>s</w:t>
      </w:r>
      <w:r w:rsidRPr="00B30033">
        <w:rPr>
          <w:rFonts w:ascii="Century" w:hAnsi="Century"/>
          <w:sz w:val="24"/>
          <w:szCs w:val="24"/>
        </w:rPr>
        <w:t xml:space="preserve">, </w:t>
      </w:r>
      <w:r w:rsidR="00685796">
        <w:rPr>
          <w:rFonts w:ascii="Century" w:hAnsi="Century"/>
          <w:sz w:val="24"/>
          <w:szCs w:val="24"/>
        </w:rPr>
        <w:t xml:space="preserve">administrative </w:t>
      </w:r>
      <w:r w:rsidRPr="00B30033">
        <w:rPr>
          <w:rFonts w:ascii="Century" w:hAnsi="Century"/>
          <w:sz w:val="24"/>
          <w:szCs w:val="24"/>
        </w:rPr>
        <w:t xml:space="preserve">regulations, and our Constitution. </w:t>
      </w:r>
      <w:bookmarkStart w:id="2" w:name="_GoBack"/>
      <w:bookmarkEnd w:id="2"/>
    </w:p>
    <w:p w14:paraId="61140FFA" w14:textId="5C824434" w:rsidR="00393CF1" w:rsidRPr="003F5EF2" w:rsidRDefault="00517C19" w:rsidP="00F503F7">
      <w:pPr>
        <w:pStyle w:val="SignatureBlock"/>
        <w:spacing w:line="480" w:lineRule="auto"/>
        <w:ind w:left="936"/>
        <w:rPr>
          <w:rFonts w:ascii="Century" w:hAnsi="Century"/>
          <w:sz w:val="24"/>
          <w:szCs w:val="24"/>
        </w:rPr>
      </w:pPr>
      <w:r w:rsidRPr="003F5EF2">
        <w:rPr>
          <w:rFonts w:ascii="Century" w:hAnsi="Century"/>
          <w:sz w:val="24"/>
          <w:szCs w:val="24"/>
        </w:rPr>
        <w:t>Respectfully submitted</w:t>
      </w:r>
      <w:r w:rsidR="00E07F9F" w:rsidRPr="003F5EF2">
        <w:rPr>
          <w:rFonts w:ascii="Century" w:hAnsi="Century"/>
          <w:sz w:val="24"/>
          <w:szCs w:val="24"/>
        </w:rPr>
        <w:t xml:space="preserve"> this </w:t>
      </w:r>
      <w:r w:rsidR="00393CF1">
        <w:rPr>
          <w:rFonts w:ascii="Century" w:hAnsi="Century"/>
          <w:sz w:val="24"/>
          <w:szCs w:val="24"/>
        </w:rPr>
        <w:t>1</w:t>
      </w:r>
      <w:r w:rsidR="00A27147">
        <w:rPr>
          <w:rFonts w:ascii="Century" w:hAnsi="Century"/>
          <w:sz w:val="24"/>
          <w:szCs w:val="24"/>
        </w:rPr>
        <w:t>7</w:t>
      </w:r>
      <w:r w:rsidR="00393CF1">
        <w:rPr>
          <w:rFonts w:ascii="Century" w:hAnsi="Century"/>
          <w:sz w:val="24"/>
          <w:szCs w:val="24"/>
        </w:rPr>
        <w:t>th</w:t>
      </w:r>
      <w:r w:rsidR="00F92545" w:rsidRPr="003F5EF2">
        <w:rPr>
          <w:rFonts w:ascii="Century" w:hAnsi="Century"/>
          <w:sz w:val="24"/>
          <w:szCs w:val="24"/>
        </w:rPr>
        <w:t xml:space="preserve"> </w:t>
      </w:r>
      <w:r w:rsidR="00393CF1">
        <w:rPr>
          <w:rFonts w:ascii="Century" w:hAnsi="Century"/>
          <w:sz w:val="24"/>
          <w:szCs w:val="24"/>
        </w:rPr>
        <w:t xml:space="preserve">day of </w:t>
      </w:r>
      <w:r w:rsidR="00A27147">
        <w:rPr>
          <w:rFonts w:ascii="Century" w:hAnsi="Century"/>
          <w:sz w:val="24"/>
          <w:szCs w:val="24"/>
        </w:rPr>
        <w:t>February</w:t>
      </w:r>
      <w:r w:rsidR="00393CF1">
        <w:rPr>
          <w:rFonts w:ascii="Century" w:hAnsi="Century"/>
          <w:sz w:val="24"/>
          <w:szCs w:val="24"/>
        </w:rPr>
        <w:t xml:space="preserve"> </w:t>
      </w:r>
      <w:r w:rsidR="00F92545" w:rsidRPr="003F5EF2">
        <w:rPr>
          <w:rFonts w:ascii="Century" w:hAnsi="Century"/>
          <w:sz w:val="24"/>
          <w:szCs w:val="24"/>
        </w:rPr>
        <w:t>20</w:t>
      </w:r>
      <w:r w:rsidR="00E555C8">
        <w:rPr>
          <w:rFonts w:ascii="Century" w:hAnsi="Century"/>
          <w:sz w:val="24"/>
          <w:szCs w:val="24"/>
        </w:rPr>
        <w:t>20</w:t>
      </w:r>
      <w:r w:rsidR="007C33C7" w:rsidRPr="003F5EF2">
        <w:rPr>
          <w:rFonts w:ascii="Century" w:hAnsi="Century"/>
          <w:sz w:val="24"/>
          <w:szCs w:val="24"/>
        </w:rPr>
        <w:t>.</w:t>
      </w:r>
    </w:p>
    <w:tbl>
      <w:tblPr>
        <w:tblpPr w:leftFromText="180" w:rightFromText="180" w:vertAnchor="text" w:horzAnchor="page" w:tblpX="2441" w:tblpY="62"/>
        <w:tblW w:w="0" w:type="auto"/>
        <w:tblLayout w:type="fixed"/>
        <w:tblCellMar>
          <w:left w:w="0" w:type="dxa"/>
          <w:right w:w="0" w:type="dxa"/>
        </w:tblCellMar>
        <w:tblLook w:val="0000" w:firstRow="0" w:lastRow="0" w:firstColumn="0" w:lastColumn="0" w:noHBand="0" w:noVBand="0"/>
      </w:tblPr>
      <w:tblGrid>
        <w:gridCol w:w="1818"/>
        <w:gridCol w:w="6276"/>
      </w:tblGrid>
      <w:tr w:rsidR="008201E3" w:rsidRPr="003F5EF2" w14:paraId="7B15E342" w14:textId="77777777" w:rsidTr="008201E3">
        <w:trPr>
          <w:cantSplit/>
          <w:trHeight w:val="223"/>
        </w:trPr>
        <w:tc>
          <w:tcPr>
            <w:tcW w:w="1818" w:type="dxa"/>
          </w:tcPr>
          <w:p w14:paraId="7AA82F61" w14:textId="77777777" w:rsidR="008201E3" w:rsidRPr="003F5EF2" w:rsidRDefault="008201E3" w:rsidP="008201E3">
            <w:pPr>
              <w:pStyle w:val="SingleSpacing"/>
              <w:keepNext/>
              <w:spacing w:line="480" w:lineRule="auto"/>
              <w:jc w:val="right"/>
              <w:rPr>
                <w:rFonts w:ascii="Century" w:hAnsi="Century"/>
                <w:sz w:val="24"/>
                <w:szCs w:val="24"/>
              </w:rPr>
            </w:pPr>
          </w:p>
        </w:tc>
        <w:tc>
          <w:tcPr>
            <w:tcW w:w="6276" w:type="dxa"/>
            <w:tcBorders>
              <w:bottom w:val="single" w:sz="4" w:space="0" w:color="auto"/>
            </w:tcBorders>
          </w:tcPr>
          <w:p w14:paraId="15230224" w14:textId="6C795131" w:rsidR="008201E3" w:rsidRPr="003F5EF2" w:rsidRDefault="00393CF1" w:rsidP="008201E3">
            <w:pPr>
              <w:pStyle w:val="SingleSpacing"/>
              <w:keepNext/>
              <w:spacing w:line="480" w:lineRule="auto"/>
              <w:rPr>
                <w:rFonts w:ascii="Century" w:hAnsi="Century"/>
                <w:sz w:val="24"/>
                <w:szCs w:val="24"/>
              </w:rPr>
            </w:pPr>
            <w:r>
              <w:rPr>
                <w:rFonts w:ascii="Century" w:hAnsi="Century"/>
                <w:sz w:val="24"/>
                <w:szCs w:val="24"/>
              </w:rPr>
              <w:t>/</w:t>
            </w:r>
            <w:r w:rsidR="008201E3" w:rsidRPr="003F5EF2">
              <w:rPr>
                <w:rFonts w:ascii="Century" w:hAnsi="Century"/>
                <w:sz w:val="24"/>
                <w:szCs w:val="24"/>
              </w:rPr>
              <w:t>s/</w:t>
            </w:r>
            <w:r>
              <w:rPr>
                <w:rFonts w:ascii="Century" w:hAnsi="Century"/>
                <w:sz w:val="24"/>
                <w:szCs w:val="24"/>
              </w:rPr>
              <w:t xml:space="preserve"> </w:t>
            </w:r>
            <w:r>
              <w:rPr>
                <w:rFonts w:ascii="Century" w:hAnsi="Century"/>
                <w:noProof/>
                <w:sz w:val="24"/>
                <w:szCs w:val="24"/>
              </w:rPr>
              <w:drawing>
                <wp:inline distT="0" distB="0" distL="0" distR="0" wp14:anchorId="052CBB57" wp14:editId="4550A552">
                  <wp:extent cx="2159000" cy="584200"/>
                  <wp:effectExtent l="0" t="0" r="0" b="0"/>
                  <wp:docPr id="1" name="Picture 1"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W.BMP"/>
                          <pic:cNvPicPr/>
                        </pic:nvPicPr>
                        <pic:blipFill>
                          <a:blip r:embed="rId7">
                            <a:extLst>
                              <a:ext uri="{28A0092B-C50C-407E-A947-70E740481C1C}">
                                <a14:useLocalDpi xmlns:a14="http://schemas.microsoft.com/office/drawing/2010/main" val="0"/>
                              </a:ext>
                            </a:extLst>
                          </a:blip>
                          <a:stretch>
                            <a:fillRect/>
                          </a:stretch>
                        </pic:blipFill>
                        <pic:spPr>
                          <a:xfrm>
                            <a:off x="0" y="0"/>
                            <a:ext cx="2159000" cy="584200"/>
                          </a:xfrm>
                          <a:prstGeom prst="rect">
                            <a:avLst/>
                          </a:prstGeom>
                        </pic:spPr>
                      </pic:pic>
                    </a:graphicData>
                  </a:graphic>
                </wp:inline>
              </w:drawing>
            </w:r>
          </w:p>
        </w:tc>
      </w:tr>
      <w:tr w:rsidR="008201E3" w:rsidRPr="003F5EF2" w14:paraId="01959463" w14:textId="77777777" w:rsidTr="008201E3">
        <w:trPr>
          <w:cantSplit/>
          <w:trHeight w:val="2027"/>
        </w:trPr>
        <w:tc>
          <w:tcPr>
            <w:tcW w:w="1818" w:type="dxa"/>
          </w:tcPr>
          <w:p w14:paraId="11BC666C" w14:textId="77777777" w:rsidR="008201E3" w:rsidRPr="003F5EF2" w:rsidRDefault="008201E3" w:rsidP="008201E3">
            <w:pPr>
              <w:pStyle w:val="SingleSpacing"/>
              <w:keepNext/>
              <w:spacing w:line="480" w:lineRule="auto"/>
              <w:rPr>
                <w:rFonts w:ascii="Century" w:hAnsi="Century"/>
                <w:sz w:val="24"/>
                <w:szCs w:val="24"/>
              </w:rPr>
            </w:pPr>
          </w:p>
        </w:tc>
        <w:tc>
          <w:tcPr>
            <w:tcW w:w="6276" w:type="dxa"/>
            <w:tcBorders>
              <w:top w:val="single" w:sz="4" w:space="0" w:color="auto"/>
            </w:tcBorders>
          </w:tcPr>
          <w:p w14:paraId="03B1F210"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William Frick</w:t>
            </w:r>
          </w:p>
          <w:p w14:paraId="5CA00576"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Law Office of William Frick</w:t>
            </w:r>
          </w:p>
          <w:p w14:paraId="01FE5BCF" w14:textId="77777777" w:rsidR="008201E3" w:rsidRPr="003F5EF2" w:rsidRDefault="00F92545" w:rsidP="008201E3">
            <w:pPr>
              <w:pStyle w:val="SingleSpacing"/>
              <w:keepNext/>
              <w:spacing w:line="240" w:lineRule="auto"/>
              <w:ind w:left="216"/>
              <w:rPr>
                <w:rFonts w:ascii="Century" w:hAnsi="Century"/>
                <w:sz w:val="24"/>
                <w:szCs w:val="24"/>
              </w:rPr>
            </w:pPr>
            <w:r w:rsidRPr="003F5EF2">
              <w:rPr>
                <w:rFonts w:ascii="Century" w:hAnsi="Century"/>
                <w:sz w:val="24"/>
                <w:szCs w:val="24"/>
              </w:rPr>
              <w:t>719 Second Avenue   Suit 701</w:t>
            </w:r>
          </w:p>
          <w:p w14:paraId="1614C2CF" w14:textId="77777777" w:rsidR="00F92545" w:rsidRPr="003F5EF2" w:rsidRDefault="00F92545" w:rsidP="008201E3">
            <w:pPr>
              <w:pStyle w:val="SingleSpacing"/>
              <w:keepNext/>
              <w:spacing w:line="240" w:lineRule="auto"/>
              <w:ind w:left="216"/>
              <w:rPr>
                <w:rFonts w:ascii="Century" w:hAnsi="Century"/>
                <w:sz w:val="24"/>
                <w:szCs w:val="24"/>
              </w:rPr>
            </w:pPr>
            <w:r w:rsidRPr="003F5EF2">
              <w:rPr>
                <w:rFonts w:ascii="Century" w:hAnsi="Century"/>
                <w:sz w:val="24"/>
                <w:szCs w:val="24"/>
              </w:rPr>
              <w:t>Seattle, Wash.  98104</w:t>
            </w:r>
          </w:p>
          <w:p w14:paraId="358231EE"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Tel:  206 286 0167  Fax: 206 770 7215</w:t>
            </w:r>
          </w:p>
          <w:p w14:paraId="5EC240D0"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william@fricklawfirm.info</w:t>
            </w:r>
          </w:p>
          <w:p w14:paraId="5D3D6518" w14:textId="77777777" w:rsidR="00EE470F"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 xml:space="preserve">William Frick  State Bar # 26648 (WA) </w:t>
            </w:r>
          </w:p>
          <w:p w14:paraId="175C3B63" w14:textId="77777777" w:rsidR="008201E3" w:rsidRPr="003F5EF2" w:rsidRDefault="00EE470F" w:rsidP="008201E3">
            <w:pPr>
              <w:pStyle w:val="SingleSpacing"/>
              <w:keepNext/>
              <w:spacing w:line="240" w:lineRule="auto"/>
              <w:ind w:left="216"/>
              <w:rPr>
                <w:rFonts w:ascii="Century" w:hAnsi="Century"/>
                <w:sz w:val="24"/>
                <w:szCs w:val="24"/>
              </w:rPr>
            </w:pPr>
            <w:r w:rsidRPr="003F5EF2">
              <w:rPr>
                <w:rFonts w:ascii="Century" w:hAnsi="Century"/>
                <w:sz w:val="24"/>
                <w:szCs w:val="24"/>
              </w:rPr>
              <w:t xml:space="preserve">                                              </w:t>
            </w:r>
            <w:r w:rsidR="008201E3" w:rsidRPr="003F5EF2">
              <w:rPr>
                <w:rFonts w:ascii="Century" w:hAnsi="Century"/>
                <w:sz w:val="24"/>
                <w:szCs w:val="24"/>
              </w:rPr>
              <w:t>65592 (PA)</w:t>
            </w:r>
          </w:p>
          <w:p w14:paraId="485F0D7F" w14:textId="77777777" w:rsidR="008201E3" w:rsidRPr="003F5EF2" w:rsidRDefault="008201E3" w:rsidP="008201E3">
            <w:pPr>
              <w:pStyle w:val="SingleSpacing"/>
              <w:keepNext/>
              <w:spacing w:line="480" w:lineRule="auto"/>
              <w:ind w:left="216"/>
              <w:rPr>
                <w:rFonts w:ascii="Century" w:hAnsi="Century"/>
                <w:sz w:val="24"/>
                <w:szCs w:val="24"/>
              </w:rPr>
            </w:pPr>
          </w:p>
        </w:tc>
      </w:tr>
    </w:tbl>
    <w:p w14:paraId="10FF0C1B" w14:textId="77777777" w:rsidR="00E07F9F" w:rsidRPr="003F5EF2" w:rsidRDefault="00E07F9F" w:rsidP="00F503F7">
      <w:pPr>
        <w:pStyle w:val="SignatureBlock"/>
        <w:rPr>
          <w:rFonts w:ascii="Century" w:hAnsi="Century"/>
          <w:sz w:val="24"/>
          <w:szCs w:val="24"/>
        </w:rPr>
      </w:pPr>
    </w:p>
    <w:sectPr w:rsidR="00E07F9F" w:rsidRPr="003F5EF2">
      <w:footerReference w:type="default" r:id="rId8"/>
      <w:pgSz w:w="12240" w:h="15840" w:code="1"/>
      <w:pgMar w:top="-1440" w:right="1440" w:bottom="-1440" w:left="144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1927F" w14:textId="77777777" w:rsidR="006C6718" w:rsidRDefault="006C6718">
      <w:r>
        <w:separator/>
      </w:r>
    </w:p>
  </w:endnote>
  <w:endnote w:type="continuationSeparator" w:id="0">
    <w:p w14:paraId="5F4F7CE7" w14:textId="77777777" w:rsidR="006C6718" w:rsidRDefault="006C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53761" w14:textId="0CFE988F" w:rsidR="002D688C" w:rsidRPr="00310469" w:rsidRDefault="00393CF1">
    <w:pPr>
      <w:pStyle w:val="Footer"/>
      <w:jc w:val="center"/>
      <w:rPr>
        <w:rFonts w:ascii="Century" w:hAnsi="Century"/>
        <w:sz w:val="22"/>
        <w:szCs w:val="22"/>
      </w:rPr>
    </w:pPr>
    <w:r>
      <w:rPr>
        <w:rFonts w:ascii="Century" w:hAnsi="Century"/>
        <w:sz w:val="22"/>
        <w:szCs w:val="22"/>
      </w:rPr>
      <w:t>Response to Report and Recommendation</w:t>
    </w:r>
    <w:r w:rsidR="002D688C" w:rsidRPr="00310469">
      <w:rPr>
        <w:rFonts w:ascii="Century" w:hAnsi="Century"/>
        <w:sz w:val="22"/>
        <w:szCs w:val="22"/>
      </w:rPr>
      <w:t xml:space="preserve">- </w:t>
    </w:r>
    <w:r w:rsidR="002D688C" w:rsidRPr="00310469">
      <w:rPr>
        <w:rFonts w:ascii="Century" w:hAnsi="Century"/>
        <w:sz w:val="22"/>
        <w:szCs w:val="22"/>
      </w:rPr>
      <w:fldChar w:fldCharType="begin"/>
    </w:r>
    <w:r w:rsidR="002D688C" w:rsidRPr="00310469">
      <w:rPr>
        <w:rFonts w:ascii="Century" w:hAnsi="Century"/>
        <w:sz w:val="22"/>
        <w:szCs w:val="22"/>
      </w:rPr>
      <w:instrText xml:space="preserve"> PAGE  \* MERGEFORMAT </w:instrText>
    </w:r>
    <w:r w:rsidR="002D688C" w:rsidRPr="00310469">
      <w:rPr>
        <w:rFonts w:ascii="Century" w:hAnsi="Century"/>
        <w:sz w:val="22"/>
        <w:szCs w:val="22"/>
      </w:rPr>
      <w:fldChar w:fldCharType="separate"/>
    </w:r>
    <w:r w:rsidR="00BB5DA8" w:rsidRPr="00310469">
      <w:rPr>
        <w:rFonts w:ascii="Century" w:hAnsi="Century"/>
        <w:noProof/>
        <w:sz w:val="22"/>
        <w:szCs w:val="22"/>
      </w:rPr>
      <w:t>1</w:t>
    </w:r>
    <w:r w:rsidR="002D688C" w:rsidRPr="00310469">
      <w:rPr>
        <w:rFonts w:ascii="Century" w:hAnsi="Century"/>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E0BE4" w14:textId="77777777" w:rsidR="006C6718" w:rsidRDefault="006C6718">
      <w:r>
        <w:separator/>
      </w:r>
    </w:p>
  </w:footnote>
  <w:footnote w:type="continuationSeparator" w:id="0">
    <w:p w14:paraId="6607AAFD" w14:textId="77777777" w:rsidR="006C6718" w:rsidRDefault="006C6718">
      <w:r>
        <w:continuationSeparator/>
      </w:r>
    </w:p>
  </w:footnote>
  <w:footnote w:id="1">
    <w:p w14:paraId="08202AB8" w14:textId="0D840DE3" w:rsidR="00955868" w:rsidRPr="00955868" w:rsidRDefault="00955868" w:rsidP="00955868">
      <w:pPr>
        <w:pStyle w:val="FootnoteText"/>
        <w:numPr>
          <w:ilvl w:val="0"/>
          <w:numId w:val="3"/>
        </w:numPr>
      </w:pPr>
      <w:r w:rsidRPr="00955868">
        <w:t>"A City upon a Hill" is a phrase derived from Jesus' Sermon on the Mount</w:t>
      </w:r>
      <w:r w:rsidR="00CE466A">
        <w:t xml:space="preserve">, </w:t>
      </w:r>
      <w:r w:rsidR="00CE466A" w:rsidRPr="00CE466A">
        <w:rPr>
          <w:i/>
          <w:iCs/>
        </w:rPr>
        <w:t xml:space="preserve">see </w:t>
      </w:r>
      <w:r w:rsidRPr="00CE466A">
        <w:rPr>
          <w:i/>
          <w:iCs/>
        </w:rPr>
        <w:t>Matthew 5:14</w:t>
      </w:r>
      <w:r w:rsidR="00FE2671">
        <w:t>.</w:t>
      </w:r>
      <w:r w:rsidRPr="00955868">
        <w:t xml:space="preserve"> </w:t>
      </w:r>
      <w:r w:rsidR="00FE2671">
        <w:t xml:space="preserve"> The concept is frequently</w:t>
      </w:r>
      <w:r w:rsidRPr="00955868">
        <w:t xml:space="preserve"> </w:t>
      </w:r>
      <w:r w:rsidR="00FE2671">
        <w:t>invoked by U.S. politicians, including Ronald Reagan, John F. Kennedy, and Mitt Romney,</w:t>
      </w:r>
      <w:r w:rsidRPr="00955868">
        <w:t xml:space="preserve"> to refer to America acting as a "beacon of hope" for the world</w:t>
      </w:r>
      <w:r w:rsidR="00FE2671">
        <w:t>.</w:t>
      </w:r>
    </w:p>
    <w:p w14:paraId="739B66C4" w14:textId="551386F8" w:rsidR="00955868" w:rsidRDefault="0095586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FBEAE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BB05CA6"/>
    <w:multiLevelType w:val="hybridMultilevel"/>
    <w:tmpl w:val="51384E10"/>
    <w:lvl w:ilvl="0" w:tplc="7C484B7A">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4F42FF0"/>
    <w:multiLevelType w:val="multilevel"/>
    <w:tmpl w:val="87A8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noExtraLineSpacing/>
    <w:suppressBottomSpacing/>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3"/>
    <w:docVar w:name="CourtAlignment" w:val="1"/>
    <w:docVar w:name="CourtName" w:val="In the United States Court of Appeals for the Ninth Circuit"/>
    <w:docVar w:name="FirmInFtr" w:val="0"/>
    <w:docVar w:name="FirmInSigBlkStyle" w:val="0"/>
    <w:docVar w:name="FirstLineNum" w:val="1"/>
    <w:docVar w:name="FirstPleadingLine" w:val="1"/>
    <w:docVar w:name="Font" w:val="Times New Roman"/>
    <w:docVar w:name="IncludeDate" w:val="-1"/>
    <w:docVar w:name="IncludeLineNumbers" w:val="-1"/>
    <w:docVar w:name="JudgeName" w:val="0"/>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0B189D"/>
    <w:rsid w:val="0003376B"/>
    <w:rsid w:val="000372E0"/>
    <w:rsid w:val="00062D91"/>
    <w:rsid w:val="000A4007"/>
    <w:rsid w:val="000B189D"/>
    <w:rsid w:val="000C1665"/>
    <w:rsid w:val="00140C91"/>
    <w:rsid w:val="00144371"/>
    <w:rsid w:val="00171792"/>
    <w:rsid w:val="001B6674"/>
    <w:rsid w:val="001B70FE"/>
    <w:rsid w:val="001F01E0"/>
    <w:rsid w:val="001F6F5E"/>
    <w:rsid w:val="00260013"/>
    <w:rsid w:val="00274254"/>
    <w:rsid w:val="00282723"/>
    <w:rsid w:val="002A27F3"/>
    <w:rsid w:val="002C0424"/>
    <w:rsid w:val="002D688C"/>
    <w:rsid w:val="002E529B"/>
    <w:rsid w:val="00302A85"/>
    <w:rsid w:val="00310469"/>
    <w:rsid w:val="003359C7"/>
    <w:rsid w:val="00342D42"/>
    <w:rsid w:val="00347F8B"/>
    <w:rsid w:val="003572B0"/>
    <w:rsid w:val="0036159C"/>
    <w:rsid w:val="00382993"/>
    <w:rsid w:val="003939DC"/>
    <w:rsid w:val="00393CF1"/>
    <w:rsid w:val="003E1B9E"/>
    <w:rsid w:val="003F5EF2"/>
    <w:rsid w:val="00410D31"/>
    <w:rsid w:val="004C469E"/>
    <w:rsid w:val="004F2F1D"/>
    <w:rsid w:val="005032CD"/>
    <w:rsid w:val="00516E62"/>
    <w:rsid w:val="00517C19"/>
    <w:rsid w:val="00586018"/>
    <w:rsid w:val="005C1000"/>
    <w:rsid w:val="00636F33"/>
    <w:rsid w:val="00641EB8"/>
    <w:rsid w:val="00685796"/>
    <w:rsid w:val="006952C5"/>
    <w:rsid w:val="006C3623"/>
    <w:rsid w:val="006C6718"/>
    <w:rsid w:val="007A732E"/>
    <w:rsid w:val="007C33C7"/>
    <w:rsid w:val="007E0F68"/>
    <w:rsid w:val="0080338D"/>
    <w:rsid w:val="008117E6"/>
    <w:rsid w:val="008201E3"/>
    <w:rsid w:val="008663CB"/>
    <w:rsid w:val="008D473E"/>
    <w:rsid w:val="00943A71"/>
    <w:rsid w:val="00955868"/>
    <w:rsid w:val="00962416"/>
    <w:rsid w:val="009711E5"/>
    <w:rsid w:val="009B5DD7"/>
    <w:rsid w:val="009B746C"/>
    <w:rsid w:val="009C0ADD"/>
    <w:rsid w:val="00A05774"/>
    <w:rsid w:val="00A27147"/>
    <w:rsid w:val="00A37170"/>
    <w:rsid w:val="00A4188A"/>
    <w:rsid w:val="00A47F78"/>
    <w:rsid w:val="00A85D99"/>
    <w:rsid w:val="00AC0B10"/>
    <w:rsid w:val="00AE42E3"/>
    <w:rsid w:val="00B05321"/>
    <w:rsid w:val="00B16B7C"/>
    <w:rsid w:val="00B21217"/>
    <w:rsid w:val="00B266C0"/>
    <w:rsid w:val="00B30033"/>
    <w:rsid w:val="00B61C6D"/>
    <w:rsid w:val="00B6559F"/>
    <w:rsid w:val="00B71CCF"/>
    <w:rsid w:val="00BB5DA8"/>
    <w:rsid w:val="00BC670B"/>
    <w:rsid w:val="00C4575D"/>
    <w:rsid w:val="00C53289"/>
    <w:rsid w:val="00C64063"/>
    <w:rsid w:val="00C83ECF"/>
    <w:rsid w:val="00C85109"/>
    <w:rsid w:val="00CE466A"/>
    <w:rsid w:val="00CF5017"/>
    <w:rsid w:val="00D10740"/>
    <w:rsid w:val="00D86992"/>
    <w:rsid w:val="00D86D5F"/>
    <w:rsid w:val="00DD3A76"/>
    <w:rsid w:val="00E07F9F"/>
    <w:rsid w:val="00E2326F"/>
    <w:rsid w:val="00E555C8"/>
    <w:rsid w:val="00E8570C"/>
    <w:rsid w:val="00ED5BC3"/>
    <w:rsid w:val="00EE470F"/>
    <w:rsid w:val="00F151FD"/>
    <w:rsid w:val="00F503F7"/>
    <w:rsid w:val="00F70DFC"/>
    <w:rsid w:val="00F82369"/>
    <w:rsid w:val="00F877CA"/>
    <w:rsid w:val="00F92545"/>
    <w:rsid w:val="00FC019B"/>
    <w:rsid w:val="00FE2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BAF3B"/>
  <w15:chartTrackingRefBased/>
  <w15:docId w15:val="{671B7176-1289-A94E-8032-A88D9062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Normal">
    <w:name w:val="Normal"/>
    <w:qFormat/>
    <w:pPr>
      <w:spacing w:line="508" w:lineRule="exact"/>
    </w:pPr>
  </w:style>
  <w:style w:type="paragraph" w:styleId="Heading1">
    <w:name w:val="heading 1"/>
    <w:basedOn w:val="Normal"/>
    <w:next w:val="Normal"/>
    <w:qFormat/>
    <w:pPr>
      <w:keepNext/>
      <w:jc w:val="center"/>
      <w:outlineLvl w:val="0"/>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pPr>
      <w:spacing w:line="254" w:lineRule="exact"/>
    </w:pPr>
  </w:style>
  <w:style w:type="paragraph" w:customStyle="1" w:styleId="15Spacing">
    <w:name w:val="1.5 Spacing"/>
    <w:basedOn w:val="Normal"/>
    <w:pPr>
      <w:spacing w:line="381" w:lineRule="exact"/>
    </w:pPr>
  </w:style>
  <w:style w:type="paragraph" w:customStyle="1" w:styleId="DoubleSpacing">
    <w:name w:val="Double Spacing"/>
    <w:basedOn w:val="Normal"/>
  </w:style>
  <w:style w:type="paragraph" w:customStyle="1" w:styleId="AttorneyName">
    <w:name w:val="Attorney Name"/>
    <w:basedOn w:val="SingleSpacing"/>
  </w:style>
  <w:style w:type="paragraph" w:customStyle="1" w:styleId="FirmName">
    <w:name w:val="Firm Name"/>
    <w:basedOn w:val="SingleSpacing"/>
    <w:pPr>
      <w:jc w:val="center"/>
    </w:pPr>
  </w:style>
  <w:style w:type="paragraph" w:customStyle="1" w:styleId="SignatureBlock">
    <w:name w:val="Signature Block"/>
    <w:basedOn w:val="SingleSpacing"/>
    <w:pPr>
      <w:ind w:left="468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8D48DE"/>
    <w:rPr>
      <w:rFonts w:ascii="Tahoma" w:hAnsi="Tahoma" w:cs="Tahoma"/>
      <w:sz w:val="16"/>
      <w:szCs w:val="16"/>
    </w:rPr>
  </w:style>
  <w:style w:type="character" w:styleId="Hyperlink">
    <w:name w:val="Hyperlink"/>
    <w:uiPriority w:val="99"/>
    <w:unhideWhenUsed/>
    <w:rsid w:val="00062D91"/>
    <w:rPr>
      <w:color w:val="0563C1"/>
      <w:u w:val="single"/>
    </w:rPr>
  </w:style>
  <w:style w:type="character" w:styleId="UnresolvedMention">
    <w:name w:val="Unresolved Mention"/>
    <w:uiPriority w:val="47"/>
    <w:rsid w:val="00062D91"/>
    <w:rPr>
      <w:color w:val="605E5C"/>
      <w:shd w:val="clear" w:color="auto" w:fill="E1DFDD"/>
    </w:rPr>
  </w:style>
  <w:style w:type="paragraph" w:styleId="FootnoteText">
    <w:name w:val="footnote text"/>
    <w:basedOn w:val="Normal"/>
    <w:link w:val="FootnoteTextChar"/>
    <w:uiPriority w:val="99"/>
    <w:semiHidden/>
    <w:unhideWhenUsed/>
    <w:rsid w:val="00955868"/>
    <w:pPr>
      <w:spacing w:line="240" w:lineRule="auto"/>
    </w:pPr>
  </w:style>
  <w:style w:type="character" w:customStyle="1" w:styleId="FootnoteTextChar">
    <w:name w:val="Footnote Text Char"/>
    <w:basedOn w:val="DefaultParagraphFont"/>
    <w:link w:val="FootnoteText"/>
    <w:uiPriority w:val="99"/>
    <w:semiHidden/>
    <w:rsid w:val="00955868"/>
  </w:style>
  <w:style w:type="character" w:styleId="FootnoteReference">
    <w:name w:val="footnote reference"/>
    <w:basedOn w:val="DefaultParagraphFont"/>
    <w:uiPriority w:val="99"/>
    <w:semiHidden/>
    <w:unhideWhenUsed/>
    <w:rsid w:val="009558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511470">
      <w:bodyDiv w:val="1"/>
      <w:marLeft w:val="0"/>
      <w:marRight w:val="0"/>
      <w:marTop w:val="0"/>
      <w:marBottom w:val="0"/>
      <w:divBdr>
        <w:top w:val="none" w:sz="0" w:space="0" w:color="auto"/>
        <w:left w:val="none" w:sz="0" w:space="0" w:color="auto"/>
        <w:bottom w:val="none" w:sz="0" w:space="0" w:color="auto"/>
        <w:right w:val="none" w:sz="0" w:space="0" w:color="auto"/>
      </w:divBdr>
    </w:div>
    <w:div w:id="1048723739">
      <w:bodyDiv w:val="1"/>
      <w:marLeft w:val="0"/>
      <w:marRight w:val="0"/>
      <w:marTop w:val="0"/>
      <w:marBottom w:val="0"/>
      <w:divBdr>
        <w:top w:val="none" w:sz="0" w:space="0" w:color="auto"/>
        <w:left w:val="none" w:sz="0" w:space="0" w:color="auto"/>
        <w:bottom w:val="none" w:sz="0" w:space="0" w:color="auto"/>
        <w:right w:val="none" w:sz="0" w:space="0" w:color="auto"/>
      </w:divBdr>
    </w:div>
    <w:div w:id="1626540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In%20the%20United%20States%20Court%20of%20Appeals%20for%20the%20Ninth%20Circu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C:\windows\application data\microsoft\templates\Legal Pleadings\In the United States Court of Appeals for the Ninth Circuit.dot</Template>
  <TotalTime>76</TotalTime>
  <Pages>9</Pages>
  <Words>1396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Pleading Wizard</vt:lpstr>
    </vt:vector>
  </TitlesOfParts>
  <Company>life's rich pageant . . .</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subject/>
  <dc:creator>William Frick</dc:creator>
  <cp:keywords/>
  <cp:lastModifiedBy>William Frick</cp:lastModifiedBy>
  <cp:revision>7</cp:revision>
  <cp:lastPrinted>2020-02-18T00:17:00Z</cp:lastPrinted>
  <dcterms:created xsi:type="dcterms:W3CDTF">2020-02-17T22:37:00Z</dcterms:created>
  <dcterms:modified xsi:type="dcterms:W3CDTF">2020-02-18T00:17:00Z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